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GOV-SOP-002: ეთიკური კონსულტაციის პროცედურა</w:t>
      </w:r>
    </w:p>
    <w:p>
      <w:pPr>
        <w:pStyle w:val="FirstParagraph"/>
      </w:pPr>
      <w:hyperlink r:id="rId20">
        <w:r>
          <w:rPr>
            <w:rStyle w:val="Hyperlink"/>
          </w:rPr>
          <w:t xml:space="preserve">სტანდარტები</w:t>
        </w:r>
      </w:hyperlink>
      <w:r>
        <w:t xml:space="preserve"> </w:t>
      </w:r>
      <w:r>
        <w:t xml:space="preserve">›</w:t>
      </w:r>
      <w:r>
        <w:t xml:space="preserve"> </w:t>
      </w:r>
      <w:hyperlink r:id="rId21">
        <w:r>
          <w:rPr>
            <w:rStyle w:val="Hyperlink"/>
          </w:rPr>
          <w:t xml:space="preserve">სტანდარტი 2A</w:t>
        </w:r>
      </w:hyperlink>
      <w:r>
        <w:t xml:space="preserve"> </w:t>
      </w:r>
      <w:r>
        <w:t xml:space="preserve">›</w:t>
      </w:r>
      <w:r>
        <w:t xml:space="preserve"> </w:t>
      </w:r>
      <w:hyperlink r:id="rId22">
        <w:r>
          <w:rPr>
            <w:rStyle w:val="Hyperlink"/>
          </w:rPr>
          <w:t xml:space="preserve">სტანდარტული ოპერაციული პროცედურები (SOP)</w:t>
        </w:r>
      </w:hyperlink>
    </w:p>
    <w:p>
      <w:pPr>
        <w:pStyle w:val="BodyText"/>
      </w:pPr>
      <w:r>
        <w:t xml:space="preserve">სტანდარტული საოპერაციო პროცედურა (SOP) · GOV-SOP-002 · ვერსია 1.1 · დამტკიცებულია ASF ექსპერტთა კომიტეტის მიერ</w:t>
      </w:r>
    </w:p>
    <w:p>
      <w:pPr>
        <w:pStyle w:val="BodyText"/>
      </w:pPr>
      <w:r>
        <w:rPr>
          <w:bCs/>
          <w:b/>
        </w:rPr>
        <w:t xml:space="preserve">დაკავშირებულია:</w:t>
      </w:r>
      <w:r>
        <w:t xml:space="preserve"> </w:t>
      </w:r>
      <w:hyperlink r:id="rId23">
        <w:r>
          <w:rPr>
            <w:rStyle w:val="Hyperlink"/>
          </w:rPr>
          <w:t xml:space="preserve">2A.9</w:t>
        </w:r>
      </w:hyperlink>
    </w:p>
    <w:p>
      <w:pPr>
        <w:pStyle w:val="BodyText"/>
      </w:pPr>
      <w:r>
        <w:t xml:space="preserve">მოკლედ</w:t>
      </w:r>
    </w:p>
    <w:p>
      <w:pPr>
        <w:numPr>
          <w:ilvl w:val="0"/>
          <w:numId w:val="1001"/>
        </w:numPr>
        <w:pStyle w:val="Compact"/>
      </w:pPr>
      <w:r>
        <w:t xml:space="preserve">დარეკეთ ეთიკის საკონტაქტო პირთან; აღწერეთ კითხვა ერთ-ორ წინადადებაში.</w:t>
      </w:r>
    </w:p>
    <w:p>
      <w:pPr>
        <w:numPr>
          <w:ilvl w:val="0"/>
          <w:numId w:val="1001"/>
        </w:numPr>
        <w:pStyle w:val="Compact"/>
      </w:pPr>
      <w:r>
        <w:t xml:space="preserve">თუ შემთხვევა გადაუდებელია, ჯერ მკურნალობა; რჩევა ითხოვეთ მაშინ, როცა პაციენტი უსაფრთხოდაა.</w:t>
      </w:r>
    </w:p>
    <w:p>
      <w:pPr>
        <w:numPr>
          <w:ilvl w:val="0"/>
          <w:numId w:val="1001"/>
        </w:numPr>
        <w:pStyle w:val="Compact"/>
      </w:pPr>
      <w:r>
        <w:t xml:space="preserve">კონსულტაციას მიაწოდეთ ფაქტები შეჯამებულად, იდენტიფიკატორების გარეშე.</w:t>
      </w:r>
    </w:p>
    <w:p>
      <w:pPr>
        <w:numPr>
          <w:ilvl w:val="0"/>
          <w:numId w:val="1001"/>
        </w:numPr>
        <w:pStyle w:val="Compact"/>
      </w:pPr>
      <w:r>
        <w:t xml:space="preserve">ჩაწერეთ მიღებული რჩევა და ის, რაც გუნდმა გადაწყვიტა.</w:t>
      </w:r>
    </w:p>
    <w:p>
      <w:pPr>
        <w:numPr>
          <w:ilvl w:val="0"/>
          <w:numId w:val="1001"/>
        </w:numPr>
        <w:pStyle w:val="Compact"/>
      </w:pPr>
      <w:r>
        <w:t xml:space="preserve">სთხოვეთ ეთიკის საკონტაქტო პირს, რომ კონსულტაცია ჟურნალში შეიტანოს.</w:t>
      </w:r>
    </w:p>
    <w:p>
      <w:pPr>
        <w:numPr>
          <w:ilvl w:val="0"/>
          <w:numId w:val="1001"/>
        </w:numPr>
        <w:pStyle w:val="Compact"/>
      </w:pPr>
      <w:r>
        <w:t xml:space="preserve">გაჩერდით და მაშინვე მოითხოვეთ დახმარება, თუ: პაციენტი დაუყოვნებელ რისკშია. ჯერ რისკი მოაგვარეთ.</w:t>
      </w:r>
    </w:p>
    <w:bookmarkStart w:id="24" w:name="მიზანი"/>
    <w:p>
      <w:pPr>
        <w:pStyle w:val="Heading2"/>
      </w:pPr>
      <w:r>
        <w:t xml:space="preserve">1. მიზანი</w:t>
      </w:r>
    </w:p>
    <w:p>
      <w:pPr>
        <w:pStyle w:val="FirstParagraph"/>
      </w:pPr>
      <w:r>
        <w:t xml:space="preserve">ნაბიჯ-ნაბიჯ აღწეროს, როგორ ითხოვს პერსონალი ან ოჯახი ეთიკურ რჩევას და რა ხდება შემდეგ [EC].</w:t>
      </w:r>
    </w:p>
    <w:bookmarkEnd w:id="24"/>
    <w:bookmarkStart w:id="25" w:name="სფერო"/>
    <w:p>
      <w:pPr>
        <w:pStyle w:val="Heading2"/>
      </w:pPr>
      <w:r>
        <w:t xml:space="preserve">2. სფერო</w:t>
      </w:r>
    </w:p>
    <w:tbl>
      <w:tblPr>
        <w:tblStyle w:val="Table"/>
        <w:tblW w:type="auto" w:w="0"/>
        <w:tblLook w:firstRow="0" w:lastRow="0" w:firstColumn="0" w:lastColumn="0" w:noHBand="0" w:noVBand="0" w:val="0000"/>
        <w:jc w:val="start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პერსონალი, რომელიც რჩევას ითხოვს, ეთიკის საკონტაქტო პირი და კონსულტაციის წევრები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ადგილმდებარეობა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ყველა სერვისი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როდის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ყოველთვის, როცა მოვლაში ეთიკური დილემა წარმოიქმნება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არ 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კვლევის ეთიკა (SOP-N05)</w:t>
            </w:r>
          </w:p>
        </w:tc>
      </w:tr>
    </w:tbl>
    <w:bookmarkEnd w:id="25"/>
    <w:bookmarkStart w:id="26" w:name="განმარტებები"/>
    <w:p>
      <w:pPr>
        <w:pStyle w:val="Heading2"/>
      </w:pPr>
      <w:r>
        <w:t xml:space="preserve">3. განმარტებები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ტერმინი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მნიშვნელობა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ეთიკის საკონტაქტო პირი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დასახელებული პირი, რომელიც იღებს და აწყობს მოთხოვნებს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კონსულტაციის 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კონსულტაციის წერილობითი რჩევა</w:t>
            </w:r>
          </w:p>
        </w:tc>
      </w:tr>
    </w:tbl>
    <w:bookmarkEnd w:id="26"/>
    <w:bookmarkStart w:id="27" w:name="ფონი"/>
    <w:p>
      <w:pPr>
        <w:pStyle w:val="Heading2"/>
      </w:pPr>
      <w:r>
        <w:t xml:space="preserve">4. ფონი</w:t>
      </w:r>
    </w:p>
    <w:p>
      <w:pPr>
        <w:pStyle w:val="FirstParagraph"/>
      </w:pPr>
      <w:r>
        <w:t xml:space="preserve">პოლიტიკა განსაზღვრავს პრინციპს. ეს პროცედურა განსაზღვრავს ნაბიჯებს, რათა ნებისმიერმა შეძლოს ამ გზით სარგებლობა კომიტეტის წევრების ვინაობის ცოდნის გარეშე.</w:t>
      </w:r>
    </w:p>
    <w:bookmarkEnd w:id="27"/>
    <w:bookmarkStart w:id="28" w:name="პასუხისმგებლობები"/>
    <w:p>
      <w:pPr>
        <w:pStyle w:val="Heading2"/>
      </w:pPr>
      <w:r>
        <w:t xml:space="preserve">5. პასუხისმგებლობები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როლი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პასუხისმგებლობა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კომპეტენცია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მომთხოვნი კლინიცისტი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აღწერს შემთხვევას; იღებს გადაწყვეტილებას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კლინიკური კომპეტენცია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ეთიკის საკონტაქტო პირი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იღებს მოთხოვნას; აწყობს კონსულტაციას; ჩაწერს რჩევას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გაწვრთნილი საკონტაქტო პირი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კონსულტაციის წევრები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რჩევა წერილობით მიეცით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ეთიკის ტრენინგი (EC)</w:t>
            </w:r>
          </w:p>
        </w:tc>
      </w:tr>
    </w:tbl>
    <w:bookmarkEnd w:id="28"/>
    <w:bookmarkStart w:id="29" w:name="მასალები-და-აღჭურვილობა"/>
    <w:p>
      <w:pPr>
        <w:pStyle w:val="Heading2"/>
      </w:pPr>
      <w:r>
        <w:t xml:space="preserve">6. მასალები და აღჭურვილობა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ნივთი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მოთხოვნა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მდგომარეობა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მოთხოვნის ფორმა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მიმდინარე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ხელმისაწვდომია თითო განყოფილებაზე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კონსულტაციის ჟურნალი (GOV-REG-003)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მოქმედი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ახლდება ყოველი კონსულტაციის შემდეგ</w:t>
            </w:r>
          </w:p>
        </w:tc>
      </w:tr>
    </w:tbl>
    <w:bookmarkEnd w:id="29"/>
    <w:bookmarkStart w:id="30" w:name="უსაფრთხოება"/>
    <w:p>
      <w:pPr>
        <w:pStyle w:val="Heading2"/>
      </w:pPr>
      <w:r>
        <w:t xml:space="preserve">7. უსაფრთხოება</w:t>
      </w:r>
    </w:p>
    <w:p>
      <w:pPr>
        <w:numPr>
          <w:ilvl w:val="0"/>
          <w:numId w:val="1002"/>
        </w:numPr>
        <w:pStyle w:val="Compact"/>
      </w:pPr>
      <w:r>
        <w:t xml:space="preserve">წერილობით არ შეიტანოთ პაციენტის იდენტიფიკატორები დამტკიცებული გზის გარეთ.</w:t>
      </w:r>
    </w:p>
    <w:bookmarkEnd w:id="30"/>
    <w:bookmarkStart w:id="31" w:name="დაწყებამდე"/>
    <w:p>
      <w:pPr>
        <w:pStyle w:val="Heading2"/>
      </w:pPr>
      <w:r>
        <w:t xml:space="preserve">8. დაწყებამდე</w:t>
      </w:r>
    </w:p>
    <w:p>
      <w:pPr>
        <w:numPr>
          <w:ilvl w:val="0"/>
          <w:numId w:val="1003"/>
        </w:numPr>
        <w:pStyle w:val="Compact"/>
      </w:pPr>
      <w:r>
        <w:t xml:space="preserve">შეაგროვეთ ფაქტები, პაციენტის სურვილები და ნებისმიერი წინასწარი გადაწყვეტილება ჩანაწერში.</w:t>
      </w:r>
    </w:p>
    <w:bookmarkEnd w:id="31"/>
    <w:bookmarkStart w:id="32" w:name="პროცედურა"/>
    <w:p>
      <w:pPr>
        <w:pStyle w:val="Heading2"/>
      </w:pPr>
      <w:r>
        <w:t xml:space="preserve">9. პროცედურა</w:t>
      </w:r>
    </w:p>
    <w:p>
      <w:pPr>
        <w:pStyle w:val="FirstParagraph"/>
      </w:pPr>
      <w:r>
        <w:t xml:space="preserve">ნაბიჯი 1. გააკეთეთ მოთხოვნა.</w:t>
      </w:r>
    </w:p>
    <w:p>
      <w:pPr>
        <w:numPr>
          <w:ilvl w:val="0"/>
          <w:numId w:val="1004"/>
        </w:numPr>
        <w:pStyle w:val="Compact"/>
      </w:pPr>
      <w:r>
        <w:t xml:space="preserve">დარეკეთ ან მიწერეთ ეთიკის საკონტაქტო პირს, ან შეავსეთ მოთხოვნის ფორმა.</w:t>
      </w:r>
    </w:p>
    <w:p>
      <w:pPr>
        <w:numPr>
          <w:ilvl w:val="0"/>
          <w:numId w:val="1004"/>
        </w:numPr>
        <w:pStyle w:val="Compact"/>
      </w:pPr>
      <w:r>
        <w:t xml:space="preserve">დაასახელეთ კითხვა და ის, არის თუ არა გადაუდებელი.</w:t>
      </w:r>
    </w:p>
    <w:p>
      <w:pPr>
        <w:pStyle w:val="FirstParagraph"/>
      </w:pPr>
      <w:r>
        <w:rPr>
          <w:bCs/>
          <w:b/>
        </w:rPr>
        <w:t xml:space="preserve">მთავარი პუნქტი:</w:t>
      </w:r>
      <w:r>
        <w:t xml:space="preserve"> </w:t>
      </w:r>
      <w:r>
        <w:t xml:space="preserve">გადაუდებელ მოთხოვნებს საბუთები არ აყოვნებს.</w:t>
      </w:r>
    </w:p>
    <w:p>
      <w:pPr>
        <w:pStyle w:val="BodyText"/>
      </w:pPr>
      <w:r>
        <w:t xml:space="preserve">ნაბიჯი 2. მოამზადეთ შეჯამება.</w:t>
      </w:r>
    </w:p>
    <w:p>
      <w:pPr>
        <w:numPr>
          <w:ilvl w:val="0"/>
          <w:numId w:val="1005"/>
        </w:numPr>
        <w:pStyle w:val="Compact"/>
      </w:pPr>
      <w:r>
        <w:t xml:space="preserve">დაწერეთ ერთგვერდიანი შეჯამება: დიაგნოზი, ვარიანტები, პაციენტის სურვილები, ოჯახის მოსაზრებები და კითხვა.</w:t>
      </w:r>
    </w:p>
    <w:p>
      <w:pPr>
        <w:numPr>
          <w:ilvl w:val="0"/>
          <w:numId w:val="1005"/>
        </w:numPr>
        <w:pStyle w:val="Compact"/>
      </w:pPr>
      <w:r>
        <w:t xml:space="preserve">ამოიღეთ სახელები და იდენტიფიკატორები, გამოიყენეთ შემთხვევის კოდი.</w:t>
      </w:r>
    </w:p>
    <w:p>
      <w:pPr>
        <w:pStyle w:val="FirstParagraph"/>
      </w:pPr>
      <w:r>
        <w:rPr>
          <w:bCs/>
          <w:b/>
        </w:rPr>
        <w:t xml:space="preserve">მთავარი პუნქტი:</w:t>
      </w:r>
      <w:r>
        <w:t xml:space="preserve"> </w:t>
      </w:r>
      <w:r>
        <w:t xml:space="preserve">მოკლე შეჯამება წევრებს ეთიკურ კითხვაზე ფოკუსირების საშუალებას აძლევს.</w:t>
      </w:r>
    </w:p>
    <w:p>
      <w:pPr>
        <w:pStyle w:val="BodyText"/>
      </w:pPr>
      <w:r>
        <w:t xml:space="preserve">ნაბიჯი 3. დაესწარით კონსულტაციას ან გაუგზავნეთ შემთხვევა.</w:t>
      </w:r>
    </w:p>
    <w:p>
      <w:pPr>
        <w:numPr>
          <w:ilvl w:val="0"/>
          <w:numId w:val="1006"/>
        </w:numPr>
        <w:pStyle w:val="Compact"/>
      </w:pPr>
      <w:r>
        <w:t xml:space="preserve">დაესწარით კონსულტაციას, ან გამოაგზავნეთ შეჯამება, თუ ვერ დაესწრებით.</w:t>
      </w:r>
    </w:p>
    <w:p>
      <w:pPr>
        <w:numPr>
          <w:ilvl w:val="0"/>
          <w:numId w:val="1006"/>
        </w:numPr>
        <w:pStyle w:val="Compact"/>
      </w:pPr>
      <w:r>
        <w:t xml:space="preserve">უპასუხეთ კითხვებს გულწრფელად, მათ შორის იმას, რაც არ იცით.</w:t>
      </w:r>
    </w:p>
    <w:p>
      <w:pPr>
        <w:pStyle w:val="FirstParagraph"/>
      </w:pPr>
      <w:r>
        <w:rPr>
          <w:bCs/>
          <w:b/>
        </w:rPr>
        <w:t xml:space="preserve">მთავარი პუნქტი:</w:t>
      </w:r>
      <w:r>
        <w:t xml:space="preserve"> </w:t>
      </w:r>
      <w:r>
        <w:t xml:space="preserve">კონსულტაცია ზუსტ ფაქტებზეა დამოკიდებული.</w:t>
      </w:r>
    </w:p>
    <w:p>
      <w:pPr>
        <w:pStyle w:val="BodyText"/>
      </w:pPr>
      <w:r>
        <w:t xml:space="preserve">ნაბიჯი 4. ჩაწერეთ რჩევა და გადაწყვეტილება.</w:t>
      </w:r>
    </w:p>
    <w:p>
      <w:pPr>
        <w:numPr>
          <w:ilvl w:val="0"/>
          <w:numId w:val="1007"/>
        </w:numPr>
        <w:pStyle w:val="Compact"/>
      </w:pPr>
      <w:r>
        <w:t xml:space="preserve">ჩაწერეთ რჩევა და გუნდის გადაწყვეტილება კლინიკურ ჩანაწერში, ეთიკის შენიშვნის გარეშე, თუ პოლიტიკა ამას მოითხოვს.</w:t>
      </w:r>
    </w:p>
    <w:p>
      <w:pPr>
        <w:numPr>
          <w:ilvl w:val="0"/>
          <w:numId w:val="1007"/>
        </w:numPr>
        <w:pStyle w:val="Compact"/>
      </w:pPr>
      <w:r>
        <w:t xml:space="preserve">სადაც საჭიროა, აცნობეთ პაციენტსა და ოჯახს, რა გადაწყდა და რატომ.</w:t>
      </w:r>
    </w:p>
    <w:p>
      <w:pPr>
        <w:pStyle w:val="FirstParagraph"/>
      </w:pPr>
      <w:r>
        <w:rPr>
          <w:bCs/>
          <w:b/>
        </w:rPr>
        <w:t xml:space="preserve">მთავარი პუნქტი:</w:t>
      </w:r>
      <w:r>
        <w:t xml:space="preserve"> </w:t>
      </w:r>
      <w:r>
        <w:t xml:space="preserve">გადაწყვეტილება და მისი მიზეზები ჩანაწერში უნდა იყოს, რომ შემდეგმა გუნდმა იცოდეს.</w:t>
      </w:r>
    </w:p>
    <w:p>
      <w:pPr>
        <w:pStyle w:val="BodyText"/>
      </w:pPr>
      <w:r>
        <w:t xml:space="preserve">ნაბიჯი 5. ჩაწერეთ კონსულტაცია ჟურნალში.</w:t>
      </w:r>
    </w:p>
    <w:p>
      <w:pPr>
        <w:numPr>
          <w:ilvl w:val="0"/>
          <w:numId w:val="1008"/>
        </w:numPr>
        <w:pStyle w:val="Compact"/>
      </w:pPr>
      <w:r>
        <w:t xml:space="preserve">ეთიკის საკონტაქტო პირი შემთხვევას GOV-REG-003-ში 5 დღეში შეიტანს.</w:t>
      </w:r>
    </w:p>
    <w:p>
      <w:pPr>
        <w:pStyle w:val="FirstParagraph"/>
      </w:pPr>
      <w:r>
        <w:rPr>
          <w:bCs/>
          <w:b/>
        </w:rPr>
        <w:t xml:space="preserve">მთავარი პუნქტი:</w:t>
      </w:r>
      <w:r>
        <w:t xml:space="preserve"> </w:t>
      </w:r>
      <w:r>
        <w:t xml:space="preserve">ჟურნალი არის ის, რაც აჩვენებს, რომ გზა მუშაობს.</w:t>
      </w:r>
    </w:p>
    <w:bookmarkEnd w:id="32"/>
    <w:bookmarkStart w:id="33" w:name="გადაწყვეტილების-წერტილები"/>
    <w:p>
      <w:pPr>
        <w:pStyle w:val="Heading2"/>
      </w:pPr>
      <w:r>
        <w:t xml:space="preserve">10. გადაწყვეტილების წერტილები</w:t>
      </w:r>
    </w:p>
    <w:p>
      <w:pPr>
        <w:numPr>
          <w:ilvl w:val="0"/>
          <w:numId w:val="1009"/>
        </w:numPr>
        <w:pStyle w:val="Compact"/>
      </w:pPr>
      <w:r>
        <w:t xml:space="preserve">თუ რჩევა არ შესრულდა, გუნდი ჩაწერს მიზეზს კლინიკურ ჩანაწერში.</w:t>
      </w:r>
    </w:p>
    <w:bookmarkEnd w:id="33"/>
    <w:bookmarkStart w:id="34" w:name="განსაკუთრებული-სიტუაციები"/>
    <w:p>
      <w:pPr>
        <w:pStyle w:val="Heading2"/>
      </w:pPr>
      <w:r>
        <w:t xml:space="preserve">11. განსაკუთრებული სიტუაციები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სიტუაცია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მოქმედება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გადაუდებელი შემთხვევა სამუშაო საათების გარეთ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პირველ კონტაქტად გამოიყენეთ მორიგე უფროსი კლინიცისტი; ეთიკის საკონტაქტო პირი მომდევნო სამუშაო დღეს გააგრძელებს (EC).</w:t>
            </w:r>
          </w:p>
        </w:tc>
      </w:tr>
    </w:tbl>
    <w:bookmarkEnd w:id="34"/>
    <w:bookmarkStart w:id="35" w:name="ესკალაცია"/>
    <w:p>
      <w:pPr>
        <w:pStyle w:val="Heading2"/>
      </w:pPr>
      <w:r>
        <w:t xml:space="preserve">12. ესკალაცია</w:t>
      </w:r>
    </w:p>
    <w:p>
      <w:pPr>
        <w:numPr>
          <w:ilvl w:val="0"/>
          <w:numId w:val="1010"/>
        </w:numPr>
        <w:pStyle w:val="Compact"/>
      </w:pPr>
      <w:r>
        <w:t xml:space="preserve">თუ გზა ვერ მუშაობს ან ვერ რეაგირებს, აღმასრულებელ დირექტორს იმავე დღეს აცნობეთ.</w:t>
      </w:r>
    </w:p>
    <w:bookmarkEnd w:id="35"/>
    <w:bookmarkStart w:id="36" w:name="მონიტორინგი"/>
    <w:p>
      <w:pPr>
        <w:pStyle w:val="Heading2"/>
      </w:pPr>
      <w:r>
        <w:t xml:space="preserve">13. მონიტორინგი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მაჩვენებელი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მიზანი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სიხშირე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პასუხისმგებელი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თუ არ შესრულდა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კონსულტაციები, დადგენილ დროში დასრულებული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ყოველთვიურად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ეთიკის საკონტაქტო პირი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ესკალაცია აღმასრულებელ დირექტორთან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ჟურნალის ჩანაწერები სრულია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ყოველთვიურად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ეთიკის საკონტაქტო პირი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დასრულდება 5 დღეში</w:t>
            </w:r>
          </w:p>
        </w:tc>
      </w:tr>
    </w:tbl>
    <w:bookmarkEnd w:id="36"/>
    <w:bookmarkStart w:id="37" w:name="ჩანაწერები"/>
    <w:p>
      <w:pPr>
        <w:pStyle w:val="Heading2"/>
      </w:pPr>
      <w:r>
        <w:t xml:space="preserve">14. ჩანაწერები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შენახვის ადგილი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შენახვის ვადა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მოთხოვნა და შეჯამება (მხოლოდ შემთხვევის კოდი)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შეზღუდული ეთიკის ფაილი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დაწესებულების ჩანაწერების პოლიტიკით დადგენილი პერიოდი (წლები)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კონსულტაციის ჟურნალი (GOV-REG-003)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მმართველობის ფაილი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დაწესებულების ჩანაწერების პოლიტიკით დადგენილი პერიოდი (წლები)</w:t>
            </w:r>
          </w:p>
        </w:tc>
      </w:tr>
    </w:tbl>
    <w:bookmarkEnd w:id="37"/>
    <w:bookmarkStart w:id="38" w:name="სწავლება"/>
    <w:p>
      <w:pPr>
        <w:pStyle w:val="Heading2"/>
      </w:pPr>
      <w:r>
        <w:t xml:space="preserve">15. სწავლება</w:t>
      </w:r>
    </w:p>
    <w:p>
      <w:pPr>
        <w:numPr>
          <w:ilvl w:val="0"/>
          <w:numId w:val="1011"/>
        </w:numPr>
        <w:pStyle w:val="Compact"/>
      </w:pPr>
      <w:r>
        <w:t xml:space="preserve">ეთიკის საკონტაქტო პირები გაწვრთნილნი არიან (EC).</w:t>
      </w:r>
    </w:p>
    <w:p>
      <w:pPr>
        <w:numPr>
          <w:ilvl w:val="0"/>
          <w:numId w:val="1011"/>
        </w:numPr>
        <w:pStyle w:val="Compact"/>
      </w:pPr>
      <w:r>
        <w:t xml:space="preserve">კლინიცისტები იღებენ მოკლე ბრიფინგს გზაზე შესავალ ინსტრუქტაჟზე.</w:t>
      </w:r>
    </w:p>
    <w:bookmarkEnd w:id="38"/>
    <w:bookmarkStart w:id="41" w:name="დაკავშირებული-დოკუმენტები"/>
    <w:p>
      <w:pPr>
        <w:pStyle w:val="Heading2"/>
      </w:pPr>
      <w:r>
        <w:t xml:space="preserve">16. დაკავშირებული დოკუმენტები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სათაური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გამოყენება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39">
              <w:r>
                <w:rPr>
                  <w:rStyle w:val="Hyperlink"/>
                </w:rPr>
                <w:t xml:space="preserve">GOV-POL-004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კლინიკური ეთიკური კონსულტაციის პოლიტიკა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პრინციპი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40">
              <w:r>
                <w:rPr>
                  <w:rStyle w:val="Hyperlink"/>
                </w:rPr>
                <w:t xml:space="preserve">GOV-REG-003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ეთიკური კონსულტაციის ჟურნალი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ჟურნალი</w:t>
            </w:r>
          </w:p>
        </w:tc>
      </w:tr>
    </w:tbl>
    <w:bookmarkEnd w:id="41"/>
    <w:bookmarkStart w:id="42" w:name="მტკიცებულებები"/>
    <w:p>
      <w:pPr>
        <w:pStyle w:val="Heading2"/>
      </w:pPr>
      <w:r>
        <w:t xml:space="preserve">17. მტკიცებულებები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მითითება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ექსპერტთა კომიტეტის კონსენსუსი.</w:t>
            </w:r>
          </w:p>
        </w:tc>
      </w:tr>
    </w:tbl>
    <w:bookmarkEnd w:id="42"/>
    <w:bookmarkStart w:id="43" w:name="ცვლილებების-ისტორია"/>
    <w:p>
      <w:pPr>
        <w:pStyle w:val="Heading2"/>
      </w:pPr>
      <w:r>
        <w:t xml:space="preserve">18. 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პირველი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დამტკიცებულია ASF ექსპერტთა კომიტეტის მიერ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შიდა ხარისხის მიმოხილვა: გასწორებული ჯვარედინი მითითებები, სტატუსის ფორმულირება და დოკუმენტების კონტროლი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დამტკიცებულია ASF ექსპერტთა კომიტეტის მიერ</w:t>
            </w:r>
          </w:p>
        </w:tc>
      </w:tr>
    </w:tbl>
    <w:bookmarkEnd w:id="43"/>
    <w:bookmarkStart w:id="44" w:name="ამ-დოკუმენტის-ელექტრონული-სწავლება"/>
    <w:p>
      <w:pPr>
        <w:pStyle w:val="Heading2"/>
      </w:pPr>
      <w:r>
        <w:t xml:space="preserve">ამ დოკუმენტის ელექტრონული სწავლება</w:t>
      </w:r>
    </w:p>
    <w:p>
      <w:pPr>
        <w:numPr>
          <w:ilvl w:val="0"/>
          <w:numId w:val="1012"/>
        </w:numPr>
        <w:pStyle w:val="Compact"/>
      </w:pPr>
      <w:r>
        <w:t xml:space="preserve">Healthcare Ethics for ASF Accreditation</w:t>
      </w:r>
      <w:r>
        <w:t xml:space="preserve"> </w:t>
      </w:r>
      <w:r>
        <w:t xml:space="preserve">(A-07)</w:t>
      </w:r>
    </w:p>
    <w:bookmarkEnd w:id="44"/>
    <w:bookmarkStart w:id="45" w:name="წყაროები"/>
    <w:p>
      <w:pPr>
        <w:pStyle w:val="Heading2"/>
      </w:pPr>
      <w:r>
        <w:t xml:space="preserve">წყაროები</w:t>
      </w:r>
    </w:p>
    <w:p>
      <w:pPr>
        <w:numPr>
          <w:ilvl w:val="0"/>
          <w:numId w:val="1013"/>
        </w:numPr>
        <w:pStyle w:val="Compact"/>
      </w:pPr>
      <w:r>
        <w:t xml:space="preserve">Accréditation Sans Frontières (2026). ASF Expert Committee consensus on Standard 1.</w:t>
      </w:r>
      <w:r>
        <w:t xml:space="preserve"> </w:t>
      </w:r>
      <w:r>
        <w:t xml:space="preserve">(E-009)</w:t>
      </w:r>
    </w:p>
    <w:bookmarkEnd w:id="4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9" Target="/ka/documents/gov-pol-004/" TargetMode="External" /><Relationship Type="http://schemas.openxmlformats.org/officeDocument/2006/relationships/hyperlink" Id="rId40" Target="/ka/documents/gov-reg-003/" TargetMode="External" /><Relationship Type="http://schemas.openxmlformats.org/officeDocument/2006/relationships/hyperlink" Id="rId22" Target="/ka/resources/sop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21" Target="/ka/standards/standard-2a/" TargetMode="External" /><Relationship Type="http://schemas.openxmlformats.org/officeDocument/2006/relationships/hyperlink" Id="rId23" Target="/ka/standards/standard-2a/#c2a-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9" Target="/ka/documents/gov-pol-004/" TargetMode="External" /><Relationship Type="http://schemas.openxmlformats.org/officeDocument/2006/relationships/hyperlink" Id="rId40" Target="/ka/documents/gov-reg-003/" TargetMode="External" /><Relationship Type="http://schemas.openxmlformats.org/officeDocument/2006/relationships/hyperlink" Id="rId22" Target="/ka/resources/sop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21" Target="/ka/standards/standard-2a/" TargetMode="External" /><Relationship Type="http://schemas.openxmlformats.org/officeDocument/2006/relationships/hyperlink" Id="rId23" Target="/ka/standards/standard-2a/#c2a-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GOV-SOP-002: ეთიკური კონსულტაციის პროცედურა</dc:title>
  <dc:creator/>
  <cp:keywords/>
  <dcterms:created xsi:type="dcterms:W3CDTF">2026-11-07T02:13:11Z</dcterms:created>
  <dcterms:modified xsi:type="dcterms:W3CDTF">2026-11-07T02:13:11Z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