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HC-FRM-009: ვიზიტამდელი საცხოვრებელი რისკის შეფასება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დასახელება</w:t>
            </w:r>
          </w:p>
          <w:p>
            <w:pPr>
              <w:pStyle w:val="Compact"/>
              <w:jc w:val="left"/>
            </w:pPr>
            <w:r>
              <w:t>სერვისის ან განყოფილების დასახელება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>ვიზიტამდელი საცხოვრებელი რისკის შეფასება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HC-FRM-009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გადასინჯვის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rStyle w:val="Hyperlink"/>
        </w:rPr>
        <w:t>სტანდარტები › სტანდარტი 29 › ფორმები</w:t>
      </w:r>
    </w:p>
    <w:p>
      <w:pPr>
        <w:pStyle w:val="BodyText"/>
      </w:pPr>
      <w:r>
        <w:t>ფორმა · HC-FRM-009 · ვერსია 1.0 · დამტკიცებულია ASF Expert Committee-ის მიერ</w:t>
      </w:r>
    </w:p>
    <w:p>
      <w:pPr>
        <w:pStyle w:val="BodyText"/>
      </w:pPr>
      <w:r>
        <w:rPr>
          <w:bCs/>
          <w:b/>
        </w:rPr>
        <w:t>მხარს უჭერს: 29.21</w:t>
      </w:r>
    </w:p>
    <w:bookmarkStart w:id="24" w:name="purpose"/>
    <w:p>
      <w:pPr>
        <w:pStyle w:val="Heading2"/>
      </w:pPr>
      <w:r>
        <w:t>მიზანი</w:t>
      </w:r>
    </w:p>
    <w:p>
      <w:pPr>
        <w:pStyle w:val="FirstParagraph"/>
      </w:pPr>
      <w:r>
        <w:t>ფიქსირებს თითოეული საცხოვრებელი სახლის რისკის შეფასებას მომვლელის პირველ ვიზიტამდე: ოჯახის წევრები, შინაური ცხოველები და საფრთხეები.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შეაფასეთ ოჯახის წევრები და ნებისმიერი ცნობილი რისკი.</w:t>
      </w:r>
    </w:p>
    <w:p>
      <w:pPr>
        <w:numPr>
          <w:ilvl w:val="0"/>
          <w:numId w:val="1001"/>
        </w:numPr>
        <w:pStyle w:val="Compact"/>
      </w:pPr>
      <w:r>
        <w:t>დააფიქსირეთ სახლში არსებული ცხოველები და გარემოსთან დაკავშირებული საფრთხეები.</w:t>
      </w:r>
    </w:p>
    <w:p>
      <w:pPr>
        <w:numPr>
          <w:ilvl w:val="0"/>
          <w:numId w:val="1001"/>
        </w:numPr>
        <w:pStyle w:val="Compact"/>
      </w:pPr>
      <w:r>
        <w:t>დააფიქსირეთ კონტროლის ზომები პირველ ვიზიტამდე.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ოჯახის რისკი (ცნობილი რისკი, არ არის)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ცხოველები (აგრესიული ან არაპროგნოზირებადი, არ არის)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განათების, გადაადგილებისა და ტემპერატურის საფრთხეები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კონტროლის ზომა პირველ ვიზიტამდე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შეაფასა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დაფუძნებულია WHO Global strategy and action plan on ageing and health 2016-2030, WHO Integrated care for older people (ICOPE) guidelines (2017) და WHO guidance on migrant health-ზე.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Expert Committee-ის კონსენსუსი.</w:t>
            </w: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Expert Committee-ის მიერ</w:t>
            </w: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</w:p>
    <w:p>
      <w:pPr>
        <w:pStyle w:val="FirstParagraph"/>
      </w:pPr>
      <w:r>
        <w:rPr>
          <w:rStyle w:val="Hyperlink"/>
        </w:rPr>
        <w:t>ჩამოტვირთეთ ეს დოკუმენტი PDF ფორმატში</w:t>
      </w:r>
    </w:p>
    <w:bookmarkEnd w:id="30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21" TargetMode="External"/><Relationship Id="rId29" Type="http://schemas.openxmlformats.org/officeDocument/2006/relationships/hyperlink" Target="https://france-asf.fr/wp-content/uploads/2026/10/hc-frm-009.pdf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21" TargetMode="External"/><Relationship Id="rId29" Type="http://schemas.openxmlformats.org/officeDocument/2006/relationships/hyperlink" Target="https://france-asf.fr/wp-content/uploads/2026/10/hc-frm-00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HC-FRM-009: Pre-visit home risk assessment</dc:title>
  <dc:creator/>
  <cp:keywords/>
  <dcterms:created xsi:type="dcterms:W3CDTF">2026-10-28T21:33:29Z</dcterms:created>
  <dcterms:modified xsi:type="dcterms:W3CDTF">2026-10-28T21:33:29Z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