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HC-POL-002: ნასამართლობის მონაცემების ინდივიდუალური შეფასება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ერთეული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პოლიტიკა</w:t>
            </w:r>
          </w:p>
          <w:p>
            <w:pPr>
              <w:pStyle w:val="Compact"/>
              <w:jc w:val="left"/>
            </w:pPr>
            <w:r>
              <w:t xml:space="preserve">ნასამართლობის მონაცემების ინდივიდუალური შეფასება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HC-POL-002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ადაპტაციისთვის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გამოცემის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გადასინჯვის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მფლობელი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29 › პოლიტიკები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პოლიტიკა · HC-POL-002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29.10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ნასამართლობის შესახებ მონაცემი ფასდება მოვლის სამუშაოსთან მისი შესაბამისობის მიხედვით: მისი ხასიათი, ასაკი და კავშირი ამ როლთან.</w:t>
      </w:r>
    </w:p>
    <w:p>
      <w:pPr>
        <w:numPr>
          <w:ilvl w:val="0"/>
          <w:numId w:val="1001"/>
        </w:numPr>
        <w:pStyle w:val="Compact"/>
      </w:pPr>
      <w:r>
        <w:t xml:space="preserve">არც ერთი მომვლელი არ უარდება ავტომატურად ძველი ან შეუსაბამო მონაცემის გამო.</w:t>
      </w:r>
    </w:p>
    <w:p>
      <w:pPr>
        <w:numPr>
          <w:ilvl w:val="0"/>
          <w:numId w:val="1001"/>
        </w:numPr>
        <w:pStyle w:val="Compact"/>
      </w:pPr>
      <w:r>
        <w:t xml:space="preserve">შეფასება და გადაწყვეტილება აღირიცხება (HC-FRM-005).</w:t>
      </w:r>
    </w:p>
    <w:p>
      <w:pPr>
        <w:numPr>
          <w:ilvl w:val="0"/>
          <w:numId w:val="1001"/>
        </w:numPr>
        <w:pStyle w:val="Compact"/>
      </w:pPr>
      <w:r>
        <w:t xml:space="preserve">გადაწყვეტილებას შეუძლია მეორე მენეჯერმა გადახედოს.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შეწყვიტეთ და მოითხოვეთ დახმარება, თუ: პირს ავტომატურად უარს ეუბნებიან ძველი, შეუსაბამო მონაცემის გამო.</w:t>
      </w:r>
    </w:p>
    <w:bookmarkStart w:id="24" w:name="purpose"/>
    <w:p>
      <w:pPr>
        <w:pStyle w:val="Heading2"/>
      </w:pPr>
      <w:r>
        <w:t>მიზანი</w:t>
      </w:r>
    </w:p>
    <w:p>
      <w:pPr>
        <w:pStyle w:val="FirstParagraph"/>
      </w:pPr>
      <w:r>
        <w:t xml:space="preserve">უზრუნველვყოთ, რომ ნასამართლობის მონაცემები ინდივიდუალურად ფასდება და არ გამოიყენება ზოგადი წესით (29.10).</w:t>
      </w:r>
    </w:p>
    <w:bookmarkEnd w:id="24"/>
    <w:bookmarkStart w:id="25" w:name="scope"/>
    <w:p>
      <w:pPr>
        <w:pStyle w:val="Heading2"/>
      </w:pPr>
      <w:r>
        <w:t>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ჯერზე,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definitions"/>
    <w:p>
      <w:pPr>
        <w:pStyle w:val="Heading2"/>
      </w:pPr>
      <w:r>
        <w:t>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განყოფილებას ხელმძღვანელობს</w:t>
            </w:r>
          </w:p>
        </w:tc>
      </w:tr>
    </w:tbl>
    <w:bookmarkEnd w:id="26"/>
    <w:bookmarkStart w:id="27" w:name="background"/>
    <w:p>
      <w:pPr>
        <w:pStyle w:val="Heading2"/>
      </w:pPr>
      <w:r>
        <w:t>ფონი</w:t>
      </w:r>
    </w:p>
    <w:p>
      <w:pPr>
        <w:pStyle w:val="FirstParagraph"/>
      </w:pPr>
      <w:r>
        <w:t xml:space="preserve">ნასამართლობა ყოველთვის არ ნიშნავს, რომ პირს უსაფრთხოდ მუშაობა არ შეუძლია. თითოეული მონაცემი ინდივიდუალურად უნდა შემოწმდეს სამუშაოსთან მისი ნამდვილი შესაბამისობის მიხედვით და არა ავტომატური უარის თქმით.</w:t>
      </w:r>
    </w:p>
    <w:bookmarkEnd w:id="27"/>
    <w:bookmarkStart w:id="28" w:name="responsibilities"/>
    <w:p>
      <w:pPr>
        <w:pStyle w:val="Heading2"/>
      </w:pPr>
      <w:r>
        <w:t>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საშინაო მოვლის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პასუხისმგებელია შეფასების წესზე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დამქირავებელი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და აღრიცხავს შეფასებას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მენეჯერი</w:t>
            </w:r>
          </w:p>
        </w:tc>
      </w:tr>
    </w:tbl>
    <w:bookmarkEnd w:id="28"/>
    <w:bookmarkStart w:id="29" w:name="materials-and-equipment"/>
    <w:p>
      <w:r>
        <w:t>[[PB]]</w:t>
      </w:r>
    </w:p>
    <w:p>
      <w:pPr>
        <w:pStyle w:val="Heading2"/>
      </w:pPr>
      <w:r>
        <w:t>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შემოწმებულია</w:t>
            </w:r>
          </w:p>
        </w:tc>
      </w:tr>
    </w:tbl>
    <w:bookmarkEnd w:id="29"/>
    <w:bookmarkStart w:id="30" w:name="safety"/>
    <w:p>
      <w:pPr>
        <w:pStyle w:val="Heading2"/>
      </w:pPr>
      <w:r>
        <w:t>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დაუყოვნებელი რისკი ემუქრება, შეწყვიტეთ და დაუძახეთ დახმარებას. არ გადადოთ გადაუდებელი მოვლა დოკუმენტაციის შევსებისთვის.</w:t>
      </w:r>
    </w:p>
    <w:bookmarkEnd w:id="30"/>
    <w:bookmarkStart w:id="31" w:name="before-you-start"/>
    <w:p>
      <w:pPr>
        <w:pStyle w:val="Heading2"/>
      </w:pPr>
      <w:r>
        <w:t>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procedure"/>
    <w:p>
      <w:pPr>
        <w:pStyle w:val="Heading2"/>
      </w:pPr>
      <w:r>
        <w:t>პროცედურა</w:t>
      </w:r>
    </w:p>
    <w:p>
      <w:pPr>
        <w:pStyle w:val="FirstParagraph"/>
      </w:pPr>
      <w:r>
        <w:t xml:space="preserve">ნაბიჯი 1. შეაფასეთ.</w:t>
      </w:r>
    </w:p>
    <w:p>
      <w:pPr>
        <w:numPr>
          <w:ilvl w:val="0"/>
          <w:numId w:val="1004"/>
        </w:numPr>
        <w:pStyle w:val="Compact"/>
      </w:pPr>
      <w:r>
        <w:t xml:space="preserve">შეაფასეთ მონაცემის ხასიათი, ასაკი და შესაბამისობა მომვლელის როლთან.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შეფასებულია.</w:t>
      </w:r>
    </w:p>
    <w:p>
      <w:pPr>
        <w:pStyle w:val="BodyText"/>
      </w:pPr>
      <w:r>
        <w:t xml:space="preserve">ნაბიჯი 2. გადაწყვიტეთ.</w:t>
      </w:r>
    </w:p>
    <w:p>
      <w:pPr>
        <w:numPr>
          <w:ilvl w:val="0"/>
          <w:numId w:val="1005"/>
        </w:numPr>
        <w:pStyle w:val="Compact"/>
      </w:pPr>
      <w:r>
        <w:t xml:space="preserve">გადაწყვიტეთ და აღრიცხეთ შედეგი, მიზეზის მითითებით.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გადაწყვეტილია.</w:t>
      </w:r>
    </w:p>
    <w:p>
      <w:pPr>
        <w:pStyle w:val="BodyText"/>
      </w:pPr>
      <w:r>
        <w:t xml:space="preserve">ნაბიჯი 3. გადასინჯეთ.</w:t>
      </w:r>
    </w:p>
    <w:p>
      <w:pPr>
        <w:numPr>
          <w:ilvl w:val="0"/>
          <w:numId w:val="1006"/>
        </w:numPr>
        <w:pStyle w:val="Compact"/>
      </w:pPr>
      <w:r>
        <w:t xml:space="preserve">ნებისმიერ უარს მეორე მენეჯერი გადახედავს.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გადასინჯულია.</w:t>
      </w:r>
    </w:p>
    <w:bookmarkEnd w:id="32"/>
    <w:bookmarkStart w:id="33" w:name="decision-points"/>
    <w:p>
      <w:r>
        <w:t>[[PB]]</w:t>
      </w:r>
    </w:p>
    <w:p>
      <w:pPr>
        <w:pStyle w:val="Heading2"/>
      </w:pPr>
      <w:r>
        <w:t>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ზარის გრაფიკით განსაზღვრული საკონტაქტო პირი, რომელიც განყოფილების კედელზეა.</w:t>
            </w:r>
          </w:p>
        </w:tc>
      </w:tr>
    </w:tbl>
    <w:bookmarkEnd w:id="34"/>
    <w:bookmarkStart w:id="35" w:name="escalation"/>
    <w:p>
      <w:pPr>
        <w:pStyle w:val="Heading2"/>
      </w:pPr>
      <w:r>
        <w:t>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მორიგე კლინიკურ ხელმძღვანელს და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>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მფლობელი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ნასამართლობის მონაცემები ინდივიდუალური შეფასებით, აღრიცხული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საშინაო მოვლის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records"/>
    <w:p>
      <w:pPr>
        <w:pStyle w:val="Heading2"/>
      </w:pPr>
      <w:r>
        <w:t>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 წლებში</w:t>
            </w:r>
          </w:p>
        </w:tc>
      </w:tr>
    </w:tbl>
    <w:bookmarkEnd w:id="37"/>
    <w:bookmarkStart w:id="38" w:name="training"/>
    <w:p>
      <w:r>
        <w:t>[[PB]]</w:t>
      </w:r>
    </w:p>
    <w:p>
      <w:pPr>
        <w:pStyle w:val="Heading2"/>
      </w:pPr>
      <w:r>
        <w:t>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ვარჯიშს გადის დაწყებისას და ყოველ წელს ახლდება, აღრიცხული კომპეტენციის შემოწმებით.</w:t>
      </w:r>
    </w:p>
    <w:bookmarkEnd w:id="38"/>
    <w:bookmarkStart w:id="40" w:name="related-documents"/>
    <w:p>
      <w:pPr>
        <w:pStyle w:val="Heading2"/>
      </w:pPr>
      <w:r>
        <w:t>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HC-FRM-005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მომვლელის შემოწმების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შემდეგზე: WHO Global strategy and action plan on ageing and health 2016-2030, WHO Integrated care for older people (ICOPE) guidelines (2017), და WHO guidance on migrant health.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change-history"/>
    <w:p>
      <w:r>
        <w:t>[[PB]]</w:t>
      </w:r>
    </w:p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ექსპერტთა კომიტეტის მიერ</w:t>
            </w:r>
          </w:p>
        </w:tc>
      </w:tr>
    </w:tbl>
    <w:bookmarkEnd w:id="42"/>
    <w:bookmarkStart w:id="44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3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bookmarkEnd w:id="44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hc-frm-005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10" TargetMode="External"/><Relationship Id="rId43" Type="http://schemas.openxmlformats.org/officeDocument/2006/relationships/hyperlink" Target="https://france-asf.fr/wp-content/uploads/2026/10/hc-pol-002.pdf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hc-frm-005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10" TargetMode="External"/><Relationship Id="rId43" Type="http://schemas.openxmlformats.org/officeDocument/2006/relationships/hyperlink" Target="https://france-asf.fr/wp-content/uploads/2026/10/hc-pol-00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HC-POL-002: Individualised assessment of criminal history findings</dc:title>
  <dc:creator/>
  <cp:keywords/>
  <dcterms:created xsi:type="dcterms:W3CDTF">2026-10-28T21:33:31Z</dcterms:created>
  <dcterms:modified xsi:type="dcterms:W3CDTF">2026-10-28T21:33:31Z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