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HC-SOP-002: დამოუკიდებელი შემოწმებითი ვიზიტები ძალადობისა და უყურადღებობის შესახებ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ორგანიზაციის სახელი</w:t>
            </w:r>
          </w:p>
          <w:p>
            <w:pPr>
              <w:pStyle w:val="Compact"/>
              <w:jc w:val="left"/>
            </w:pPr>
            <w:r>
              <w:t xml:space="preserve">ობიექტი ან ერთეული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 xml:space="preserve">დამოუკიდებელი შემოწმებითი ვიზიტები ძალადობისა და უყურადღებობის შესახებ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HC-SOP-002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ცარიელი ფორმა, ადაპტაციისთვის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გამოცემის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გადასინჯვის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მფლობელი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 › სტანდარტი 29 › სტანდარტული საოპერაციო პროცედურები (SOPs)</w:t>
        </w:r>
      </w:hyperlink>
      <w:r>
        <w:t xml:space="preserve"/>
      </w:r>
      <w:r>
        <w:t xml:space="preserve"/>
      </w:r>
      <w:r>
        <w:t xml:space="preserve"/>
      </w:r>
      <w:hyperlink r:id="rId21">
        <w:r>
          <w:rPr>
            <w:rStyle w:val="Hyperlink"/>
          </w:rPr>
          <w:t xml:space="preserve"/>
        </w:r>
      </w:hyperlink>
      <w:r>
        <w:t xml:space="preserve"/>
      </w:r>
      <w:r>
        <w:t xml:space="preserve"/>
      </w:r>
      <w:r>
        <w:t xml:space="preserve"/>
      </w:r>
      <w:hyperlink r:id="rId22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პროცედურა · HC-SOP-002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29.5</w:t>
      </w:r>
      <w:r>
        <w:t xml:space="preserve"/>
      </w:r>
      <w:hyperlink r:id="rId23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თითოეულ კლიენტს დადგენილი გრაფიკით ამოწმებს მომვლელისგან დამოუკიდებელი პირი (HC-FRM-004).</w:t>
      </w:r>
    </w:p>
    <w:p>
      <w:pPr>
        <w:numPr>
          <w:ilvl w:val="0"/>
          <w:numId w:val="1001"/>
        </w:numPr>
        <w:pStyle w:val="Compact"/>
      </w:pPr>
      <w:r>
        <w:t xml:space="preserve">შემოწმება მოიცავს ფიზიკურ, ვერბალურ, ემოციურ და სექსუალურ ძალადობას, და უყურადღებობას.</w:t>
      </w:r>
    </w:p>
    <w:p>
      <w:pPr>
        <w:numPr>
          <w:ilvl w:val="0"/>
          <w:numId w:val="1001"/>
        </w:numPr>
        <w:pStyle w:val="Compact"/>
      </w:pPr>
      <w:r>
        <w:t xml:space="preserve">შეშფოთება იმავე დღეს ეცნობება ინციდენტების პოლიტიკის შესაბამისად (INC-POL-001).</w:t>
      </w:r>
    </w:p>
    <w:p>
      <w:pPr>
        <w:numPr>
          <w:ilvl w:val="0"/>
          <w:numId w:val="1001"/>
        </w:numPr>
        <w:pStyle w:val="Compact"/>
      </w:pPr>
      <w:r>
        <w:t xml:space="preserve">კლიენტს კერძოდ ეკითხებიან.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შეწყვიტეთ და მოითხოვეთ დახმარება, თუ: კლიენტი კვირების განმავლობაში უყურადღებოდ რჩება და ამას ვერავინ ამჩნევს.</w:t>
      </w:r>
    </w:p>
    <w:bookmarkStart w:id="24" w:name="purpose"/>
    <w:p>
      <w:pPr>
        <w:pStyle w:val="Heading2"/>
      </w:pPr>
      <w:r>
        <w:t>მიზანი</w:t>
      </w:r>
    </w:p>
    <w:p>
      <w:pPr>
        <w:pStyle w:val="FirstParagraph"/>
      </w:pPr>
      <w:r>
        <w:t xml:space="preserve">აქტიურად შევამოწმოთ, რომ კლიენტები თავისუფალნი არიან ძალადობისა და უყურადღებობისგან (29.5).</w:t>
      </w:r>
    </w:p>
    <w:bookmarkEnd w:id="24"/>
    <w:bookmarkStart w:id="25" w:name="scope"/>
    <w:p>
      <w:pPr>
        <w:pStyle w:val="Heading2"/>
      </w:pPr>
      <w:r>
        <w:t>მოქმედების სფერო</w:t>
      </w:r>
    </w:p>
    <w:p>
      <w:r>
        <w:t>[[PB]]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ჯერზე,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მე-15 განყოფილებაში</w:t>
            </w:r>
          </w:p>
        </w:tc>
      </w:tr>
    </w:tbl>
    <w:bookmarkEnd w:id="25"/>
    <w:bookmarkStart w:id="26" w:name="definitions"/>
    <w:p>
      <w:pPr>
        <w:pStyle w:val="Heading2"/>
      </w:pPr>
      <w:r>
        <w:t>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განყოფილებას ხელმძღვანელობს</w:t>
            </w:r>
          </w:p>
        </w:tc>
      </w:tr>
    </w:tbl>
    <w:bookmarkEnd w:id="26"/>
    <w:bookmarkStart w:id="27" w:name="background"/>
    <w:p>
      <w:pPr>
        <w:pStyle w:val="Heading2"/>
      </w:pPr>
      <w:r>
        <w:t>ფონი</w:t>
      </w:r>
    </w:p>
    <w:p>
      <w:pPr>
        <w:pStyle w:val="FirstParagraph"/>
      </w:pPr>
      <w:r>
        <w:t xml:space="preserve">კლიენტის ძალადობა და უყურადღებობა საკუთარ სახლში ხშირად შეუმჩნეველი რჩება, რადგან სახლი პირადი სივრცეა. კლიენტის დასაცავად საჭიროა აქტიური შემოწმება და არა მხოლოდ ნდობა.</w:t>
      </w:r>
    </w:p>
    <w:bookmarkEnd w:id="27"/>
    <w:bookmarkStart w:id="28" w:name="responsibilities"/>
    <w:p>
      <w:pPr>
        <w:pStyle w:val="Heading2"/>
      </w:pPr>
      <w:r>
        <w:t>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საშინაო მოვლის სერვისის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პასუხისმგებელია შემოწმებითი ვიზიტების გრაფიკზე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 ან მენეჯერი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ზედამხედველი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ატარებს შემოწმებით ვიზიტს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</w:tbl>
    <w:bookmarkEnd w:id="28"/>
    <w:bookmarkStart w:id="29" w:name="materials-and-equipment"/>
    <w:p>
      <w:r>
        <w:t>[[PB]]</w:t>
      </w:r>
    </w:p>
    <w:p>
      <w:pPr>
        <w:pStyle w:val="Heading2"/>
      </w:pPr>
      <w:r>
        <w:t>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შემოწმებულია</w:t>
            </w:r>
          </w:p>
        </w:tc>
      </w:tr>
    </w:tbl>
    <w:bookmarkEnd w:id="29"/>
    <w:bookmarkStart w:id="30" w:name="safety"/>
    <w:p>
      <w:pPr>
        <w:pStyle w:val="Heading2"/>
      </w:pPr>
      <w:r>
        <w:t>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დაუყოვნებელი რისკი ემუქრება, შეწყვიტეთ და დაუძახეთ დახმარებას. არ გადადოთ გადაუდებელი მოვლა დოკუმენტაციის შევსებისთვის.</w:t>
      </w:r>
    </w:p>
    <w:bookmarkEnd w:id="30"/>
    <w:bookmarkStart w:id="31" w:name="before-you-start"/>
    <w:p>
      <w:pPr>
        <w:pStyle w:val="Heading2"/>
      </w:pPr>
      <w:r>
        <w:t>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აქტუალურია.</w:t>
      </w:r>
    </w:p>
    <w:bookmarkEnd w:id="31"/>
    <w:bookmarkStart w:id="32" w:name="procedure"/>
    <w:p>
      <w:pPr>
        <w:pStyle w:val="Heading2"/>
      </w:pPr>
      <w:r>
        <w:t>პროცედურა</w:t>
      </w:r>
    </w:p>
    <w:p>
      <w:pPr>
        <w:pStyle w:val="FirstParagraph"/>
      </w:pPr>
      <w:r>
        <w:t xml:space="preserve">ნაბიჯი 1. დაგეგმეთ.</w:t>
      </w:r>
    </w:p>
    <w:p>
      <w:pPr>
        <w:numPr>
          <w:ilvl w:val="0"/>
          <w:numId w:val="1004"/>
        </w:numPr>
        <w:pStyle w:val="Compact"/>
      </w:pPr>
      <w:r>
        <w:t xml:space="preserve">დადგენილი ინტერვალით დაგეგმეთ დამოუკიდებელი შემოწმებითი ვიზიტი თითოეული კლიენტისთვის.</w:t>
      </w:r>
    </w:p>
    <w:p>
      <w:pPr>
        <w:pStyle w:val="FirstParagraph"/>
      </w:pPr>
      <w:r>
        <w:rPr>
          <w:bCs/>
          <w:b/>
        </w:rPr>
        <w:t>მთავარი პუნქტი:</w:t>
      </w:r>
      <w:r>
        <w:t xml:space="preserve"> </w:t>
      </w:r>
      <w:r>
        <w:t>დაგეგმილია.</w:t>
      </w:r>
    </w:p>
    <w:p>
      <w:pPr>
        <w:pStyle w:val="BodyText"/>
      </w:pPr>
      <w:r>
        <w:t xml:space="preserve">ნაბიჯი 2. შეამოწმეთ კერძოდ.</w:t>
      </w:r>
    </w:p>
    <w:p>
      <w:pPr>
        <w:numPr>
          <w:ilvl w:val="0"/>
          <w:numId w:val="1005"/>
        </w:numPr>
        <w:pStyle w:val="Compact"/>
      </w:pPr>
      <w:r>
        <w:t xml:space="preserve">კლიენტს კერძოდ ჰკითხეთ ძალადობისა და უყურადღებობის შესახებ და მის მოვლაზე.</w:t>
      </w:r>
    </w:p>
    <w:p>
      <w:pPr>
        <w:pStyle w:val="FirstParagraph"/>
      </w:pPr>
      <w:r>
        <w:rPr>
          <w:bCs/>
          <w:b/>
        </w:rPr>
        <w:t>მთავარი პუნქტი:</w:t>
      </w:r>
      <w:r>
        <w:t xml:space="preserve"> </w:t>
      </w:r>
      <w:r>
        <w:t>კითხვა დასმულია.</w:t>
      </w:r>
    </w:p>
    <w:p>
      <w:pPr>
        <w:pStyle w:val="BodyText"/>
      </w:pPr>
      <w:r>
        <w:t xml:space="preserve">ნაბიჯი 3. შეატყობინეთ.</w:t>
      </w:r>
    </w:p>
    <w:p>
      <w:pPr>
        <w:numPr>
          <w:ilvl w:val="0"/>
          <w:numId w:val="1006"/>
        </w:numPr>
        <w:pStyle w:val="Compact"/>
      </w:pPr>
      <w:r>
        <w:t xml:space="preserve">ნებისმიერი შეშფოთება იმავე დღეს შეატყობინეთ და აღრიცხეთ HC-FRM-004-ზე.</w:t>
      </w:r>
    </w:p>
    <w:p>
      <w:pPr>
        <w:pStyle w:val="FirstParagraph"/>
      </w:pPr>
      <w:r>
        <w:rPr>
          <w:bCs/>
          <w:b/>
        </w:rPr>
        <w:t>მთავარი პუნქტი:</w:t>
      </w:r>
      <w:r>
        <w:t xml:space="preserve"> </w:t>
      </w:r>
      <w:r>
        <w:t>შეტყობინებულია.</w:t>
      </w:r>
    </w:p>
    <w:bookmarkEnd w:id="32"/>
    <w:bookmarkStart w:id="33" w:name="decision-points"/>
    <w:p>
      <w:r>
        <w:t>[[PB]]</w:t>
      </w:r>
    </w:p>
    <w:p>
      <w:pPr>
        <w:pStyle w:val="Heading2"/>
      </w:pPr>
      <w:r>
        <w:t>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>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ზარის გრაფიკით განსაზღვრული საკონტაქტო პირი, რომელიც განყოფილების კედელზეა.</w:t>
            </w:r>
          </w:p>
        </w:tc>
      </w:tr>
    </w:tbl>
    <w:bookmarkEnd w:id="34"/>
    <w:bookmarkStart w:id="35" w:name="escalation"/>
    <w:p>
      <w:pPr>
        <w:pStyle w:val="Heading2"/>
      </w:pPr>
      <w:r>
        <w:t>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მორიგე კლინიკურ ხელმძღვანელს და იმავე დღეს — კლინიკურ დირექტორს.</w:t>
      </w:r>
    </w:p>
    <w:bookmarkEnd w:id="35"/>
    <w:bookmarkStart w:id="36" w:name="monitoring"/>
    <w:p>
      <w:pPr>
        <w:pStyle w:val="Heading2"/>
      </w:pPr>
      <w:r>
        <w:t>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მფლობელი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კლიენტები, რომელთაც გრაფიკის მიხედვით აქვთ დამოუკიდებელი შემოწმებითი ვიზიტი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საშინაო მოვლის სერვისის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სამედიცინო დირექტორს</w:t>
            </w:r>
          </w:p>
        </w:tc>
      </w:tr>
    </w:tbl>
    <w:bookmarkEnd w:id="36"/>
    <w:bookmarkStart w:id="37" w:name="records"/>
    <w:p>
      <w:pPr>
        <w:pStyle w:val="Heading2"/>
      </w:pPr>
      <w:r>
        <w:t>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განყოფილების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 წლებში</w:t>
            </w:r>
          </w:p>
        </w:tc>
      </w:tr>
    </w:tbl>
    <w:bookmarkEnd w:id="37"/>
    <w:bookmarkStart w:id="38" w:name="training"/>
    <w:p>
      <w:r>
        <w:t>[[PB]]</w:t>
      </w:r>
    </w:p>
    <w:p>
      <w:pPr>
        <w:pStyle w:val="Heading2"/>
      </w:pPr>
      <w:r>
        <w:t>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ვარჯიშს გადის დაწყებისას და ყოველ წელს ახლდება, აღრიცხული კომპეტენციის შემოწმებით.</w:t>
      </w:r>
    </w:p>
    <w:bookmarkEnd w:id="38"/>
    <w:bookmarkStart w:id="41" w:name="related-documents"/>
    <w:p>
      <w:pPr>
        <w:pStyle w:val="Heading2"/>
      </w:pPr>
      <w:r>
        <w:t>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HC-FRM-004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დამოუკიდებელი შემოწმებითი ვიზიტის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INC-POL-001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ინციდენტების შეტყობინება და მართვა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პოლიტიკა</w:t>
            </w:r>
          </w:p>
        </w:tc>
      </w:tr>
    </w:tbl>
    <w:bookmarkEnd w:id="41"/>
    <w:bookmarkStart w:id="42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შემდეგზე: WHO Global strategy and action plan on ageing and health 2016-2030, WHO Integrated care for older people (ICOPE) guidelines (2017), და WHO guidance on migrant health.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change-history"/>
    <w:p>
      <w:r>
        <w:t>[[PB]]</w:t>
      </w:r>
    </w:p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ექსპერტთა კომიტეტის მიერ</w:t>
            </w:r>
          </w:p>
        </w:tc>
      </w:tr>
    </w:tbl>
    <w:bookmarkEnd w:id="43"/>
    <w:bookmarkStart w:id="45" w:name="references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4">
        <w:r>
          <w:rPr>
            <w:rStyle w:val="Hyperlink"/>
          </w:rPr>
          <w:t xml:space="preserve">ჩამოტვირთეთ ეს დოკუმენტი PDF ფორმატში</w:t>
        </w:r>
      </w:hyperlink>
    </w:p>
    <w:bookmarkEnd w:id="45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hc-frm-004/" TargetMode="External"/><Relationship Id="rId40" Type="http://schemas.openxmlformats.org/officeDocument/2006/relationships/hyperlink" Target="/documents/inc-pol-001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5" TargetMode="External"/><Relationship Id="rId44" Type="http://schemas.openxmlformats.org/officeDocument/2006/relationships/hyperlink" Target="https://france-asf.fr/wp-content/uploads/2026/10/hc-sop-002.pdf" TargetMode="Externa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hc-frm-004/" TargetMode="External"/><Relationship Id="rId40" Type="http://schemas.openxmlformats.org/officeDocument/2006/relationships/hyperlink" Target="/documents/inc-pol-001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5" TargetMode="External"/><Relationship Id="rId44" Type="http://schemas.openxmlformats.org/officeDocument/2006/relationships/hyperlink" Target="https://france-asf.fr/wp-content/uploads/2026/10/hc-sop-00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HC-SOP-002: Independent check-ins for abuse and neglect</dc:title>
  <dc:creator/>
  <cp:keywords/>
  <dcterms:created xsi:type="dcterms:W3CDTF">2026-10-28T21:33:30Z</dcterms:created>
  <dcterms:modified xsi:type="dcterms:W3CDTF">2026-10-28T21:33:30Z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