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HC-SOP-005: მედიკამენტის ცვლილებები, გადასვლები და გამოტოვებული დოზები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 xml:space="preserve">მედიკამენტის ცვლილებები, გადასვლები და გამოტოვებული დოზები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HC-SOP-005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ადაპტაციისთვის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გამოცემის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29 › სტანდარტული საოპერაციო პროცედურები (SOPs)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პროცედურა · HC-SOP-005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29.18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მედიკამენტის ცვლილება, საავადმყოფოდან გაწერა, ახალი დანიშნულების გამცემი ან მომვლელის შეცვლა იწვევს მკურნალობის სქემის სრულ გადასინჯვას (LTC-SOP-002).</w:t>
      </w:r>
    </w:p>
    <w:p>
      <w:pPr>
        <w:numPr>
          <w:ilvl w:val="0"/>
          <w:numId w:val="1001"/>
        </w:numPr>
        <w:pStyle w:val="Compact"/>
      </w:pPr>
      <w:r>
        <w:t xml:space="preserve">გამოტოვებული ან საეჭვო დოზა იმავე დღეს მოწმდება და აღირიცხება (29.20).</w:t>
      </w:r>
    </w:p>
    <w:p>
      <w:pPr>
        <w:numPr>
          <w:ilvl w:val="0"/>
          <w:numId w:val="1001"/>
        </w:numPr>
        <w:pStyle w:val="Compact"/>
      </w:pPr>
      <w:r>
        <w:t xml:space="preserve">საერთო მედიკამენტების სია ახლდება ყოველი ცვლილებისას (HC-FRM-008).</w:t>
      </w:r>
    </w:p>
    <w:p>
      <w:pPr>
        <w:numPr>
          <w:ilvl w:val="0"/>
          <w:numId w:val="1001"/>
        </w:numPr>
        <w:pStyle w:val="Compact"/>
      </w:pPr>
      <w:r>
        <w:t xml:space="preserve">ახალი მედიკამენტი სახლის სიიდან არ უნდა გამოტოვოთ.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შეწყვიტეთ და მოითხოვეთ დახმარება, თუ: საავადმყოფოდან გაწერისას არის ახალი პრეპარატი, რომელიც სახლის სიაში არ არის დამატებული.</w:t>
      </w:r>
    </w:p>
    <w:bookmarkStart w:id="24" w:name="purpose"/>
    <w:p>
      <w:pPr>
        <w:pStyle w:val="Heading2"/>
      </w:pPr>
      <w:r>
        <w:t>მიზანი</w:t>
      </w:r>
    </w:p>
    <w:p>
      <w:pPr>
        <w:pStyle w:val="FirstParagraph"/>
      </w:pPr>
      <w:r>
        <w:t xml:space="preserve">უზრუნველვყოთ მედიკამენტების ცვლილებებისა და გამოტოვებული დოზების აქტიური მართვა (29.18, 29.20).</w:t>
      </w:r>
    </w:p>
    <w:bookmarkEnd w:id="24"/>
    <w:bookmarkStart w:id="25" w:name="scope"/>
    <w:p>
      <w:pPr>
        <w:pStyle w:val="Heading2"/>
      </w:pPr>
      <w:r>
        <w:t>მოქმედების სფერო</w:t>
      </w:r>
    </w:p>
    <w:p>
      <w:r>
        <w:t>[[PB]]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ჯერზე,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definitions"/>
    <w:p>
      <w:pPr>
        <w:pStyle w:val="Heading2"/>
      </w:pPr>
      <w:r>
        <w:t>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განყოფილებას ხელმძღვანელობს</w:t>
            </w:r>
          </w:p>
        </w:tc>
      </w:tr>
    </w:tbl>
    <w:bookmarkEnd w:id="26"/>
    <w:bookmarkStart w:id="27" w:name="background"/>
    <w:p>
      <w:pPr>
        <w:pStyle w:val="Heading2"/>
      </w:pPr>
      <w:r>
        <w:t>ფონი</w:t>
      </w:r>
    </w:p>
    <w:p>
      <w:pPr>
        <w:pStyle w:val="FirstParagraph"/>
      </w:pPr>
      <w:r>
        <w:t xml:space="preserve">მედიკამენტებისთვის ყველაზე სახიფათო მომენტებია ცვლილებები: საავადმყოფოდან გაწერა, ახალი დანიშნულების გამცემი, დოზის ცვლილება. სიის შეჯერება ამ მომენტებში იჭერს შეცდომას.</w:t>
      </w:r>
    </w:p>
    <w:bookmarkEnd w:id="27"/>
    <w:bookmarkStart w:id="28" w:name="responsibilities"/>
    <w:p>
      <w:pPr>
        <w:pStyle w:val="Heading2"/>
      </w:pPr>
      <w:r>
        <w:t>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საშინაო მოვლის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პასუხისმგებელია გადასინჯვის წესზე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მომვლელი ან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ატყობინებს ცვლილებებსა და გამოტოვებულ დოზებს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</w:t>
            </w:r>
          </w:p>
        </w:tc>
      </w:tr>
    </w:tbl>
    <w:bookmarkEnd w:id="28"/>
    <w:bookmarkStart w:id="29" w:name="materials-and-equipment"/>
    <w:p>
      <w:r>
        <w:t>[[PB]]</w:t>
      </w:r>
    </w:p>
    <w:p>
      <w:pPr>
        <w:pStyle w:val="Heading2"/>
      </w:pPr>
      <w:r>
        <w:t>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შემოწმებულია</w:t>
            </w:r>
          </w:p>
        </w:tc>
      </w:tr>
    </w:tbl>
    <w:bookmarkEnd w:id="29"/>
    <w:bookmarkStart w:id="30" w:name="safety"/>
    <w:p>
      <w:pPr>
        <w:pStyle w:val="Heading2"/>
      </w:pPr>
      <w:r>
        <w:t>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დაუყოვნებელი რისკი ემუქრება, შეწყვიტეთ და დაუძახეთ დახმარებას. არ გადადოთ გადაუდებელი მოვლა დოკუმენტაციის შევსებისთვის.</w:t>
      </w:r>
    </w:p>
    <w:bookmarkEnd w:id="30"/>
    <w:bookmarkStart w:id="31" w:name="before-you-start"/>
    <w:p>
      <w:pPr>
        <w:pStyle w:val="Heading2"/>
      </w:pPr>
      <w:r>
        <w:t>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procedure"/>
    <w:p>
      <w:pPr>
        <w:pStyle w:val="Heading2"/>
      </w:pPr>
      <w:r>
        <w:t>პროცედურა</w:t>
      </w:r>
    </w:p>
    <w:p>
      <w:pPr>
        <w:pStyle w:val="FirstParagraph"/>
      </w:pPr>
      <w:r>
        <w:t xml:space="preserve">ნაბიჯი 1. გადასინჯეთ ცვლილებისას.</w:t>
      </w:r>
    </w:p>
    <w:p>
      <w:pPr>
        <w:numPr>
          <w:ilvl w:val="0"/>
          <w:numId w:val="1004"/>
        </w:numPr>
        <w:pStyle w:val="Compact"/>
      </w:pPr>
      <w:r>
        <w:t xml:space="preserve">ყოველი ცვლილების ან გადასვლისას გადასინჯეთ მთელი სქემა და განაახლეთ HC-FRM-008.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გადასინჯულია.</w:t>
      </w:r>
    </w:p>
    <w:p>
      <w:pPr>
        <w:pStyle w:val="BodyText"/>
      </w:pPr>
      <w:r>
        <w:t xml:space="preserve">ნაბიჯი 2. მიჰყევით გამოტოვებულ დოზებს.</w:t>
      </w:r>
    </w:p>
    <w:p>
      <w:pPr>
        <w:numPr>
          <w:ilvl w:val="0"/>
          <w:numId w:val="1005"/>
        </w:numPr>
        <w:pStyle w:val="Compact"/>
      </w:pPr>
      <w:r>
        <w:t xml:space="preserve">გამოტოვებულ ან საეჭვო დოზას იმავე დღეს მიჰყევით და აღრიცხეთ.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მონიტორინგი ჩატარებულია.</w:t>
      </w:r>
    </w:p>
    <w:p>
      <w:pPr>
        <w:pStyle w:val="BodyText"/>
      </w:pPr>
      <w:r>
        <w:t xml:space="preserve">ნაბიჯი 3. დახურეთ ციკლი.</w:t>
      </w:r>
    </w:p>
    <w:p>
      <w:pPr>
        <w:numPr>
          <w:ilvl w:val="0"/>
          <w:numId w:val="1006"/>
        </w:numPr>
        <w:pStyle w:val="Compact"/>
      </w:pPr>
      <w:r>
        <w:t xml:space="preserve">დაადასტურეთ, რომ სია და კლიენტის მარაგი ერთმანეთს ემთხვევა.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დადასტურებულია.</w:t>
      </w:r>
    </w:p>
    <w:bookmarkEnd w:id="32"/>
    <w:bookmarkStart w:id="33" w:name="decision-points"/>
    <w:p>
      <w:r>
        <w:t>[[PB]]</w:t>
      </w:r>
    </w:p>
    <w:p>
      <w:pPr>
        <w:pStyle w:val="Heading2"/>
      </w:pPr>
      <w:r>
        <w:t>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ზარის გრაფიკით განსაზღვრული საკონტაქტო პირი, რომელიც განყოფილების კედელზეა.</w:t>
            </w:r>
          </w:p>
        </w:tc>
      </w:tr>
    </w:tbl>
    <w:bookmarkEnd w:id="34"/>
    <w:bookmarkStart w:id="35" w:name="escalation"/>
    <w:p>
      <w:pPr>
        <w:pStyle w:val="Heading2"/>
      </w:pPr>
      <w:r>
        <w:t>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მორიგე კლინიკურ ხელმძღვანელს და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მედიკამენტის ცვლილებები გადასინჯულია და საერთო სია განახლებულია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საშინაო მოვლის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records"/>
    <w:p>
      <w:pPr>
        <w:pStyle w:val="Heading2"/>
      </w:pPr>
      <w:r>
        <w:t>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 წლებში</w:t>
            </w:r>
          </w:p>
        </w:tc>
      </w:tr>
    </w:tbl>
    <w:bookmarkEnd w:id="37"/>
    <w:bookmarkStart w:id="38" w:name="training"/>
    <w:p>
      <w:r>
        <w:t>[[PB]]</w:t>
      </w:r>
    </w:p>
    <w:p>
      <w:pPr>
        <w:pStyle w:val="Heading2"/>
      </w:pPr>
      <w:r>
        <w:t>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ვარჯიშს გადის დაწყებისას და ყოველ წელს ახლდება, აღრიცხული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>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HC-FRM-008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საერთო მედიკამენტების 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LTC-FRM-002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მედიკამენტების შეჯერების ფორმა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1"/>
    <w:bookmarkStart w:id="42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შემდეგზე: WHO Global strategy and action plan on ageing and health 2016-2030, WHO Integrated care for older people (ICOPE) guidelines (2017), და WHO guidance on migrant health.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change-history"/>
    <w:p>
      <w:r>
        <w:t>[[PB]]</w:t>
      </w:r>
    </w:p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ექსპერტთა კომიტეტის მიერ</w:t>
            </w:r>
          </w:p>
        </w:tc>
      </w:tr>
    </w:tbl>
    <w:bookmarkEnd w:id="43"/>
    <w:bookmarkStart w:id="45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4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45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hc-frm-008/" TargetMode="External"/><Relationship Id="rId40" Type="http://schemas.openxmlformats.org/officeDocument/2006/relationships/hyperlink" Target="/documents/ltc-frm-002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18" TargetMode="External"/><Relationship Id="rId44" Type="http://schemas.openxmlformats.org/officeDocument/2006/relationships/hyperlink" Target="https://france-asf.fr/wp-content/uploads/2026/10/hc-sop-005.pdf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hc-frm-008/" TargetMode="External"/><Relationship Id="rId40" Type="http://schemas.openxmlformats.org/officeDocument/2006/relationships/hyperlink" Target="/documents/ltc-frm-002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18" TargetMode="External"/><Relationship Id="rId44" Type="http://schemas.openxmlformats.org/officeDocument/2006/relationships/hyperlink" Target="https://france-asf.fr/wp-content/uploads/2026/10/hc-sop-00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HC-SOP-005: Medication changes, transitions and missed doses</dc:title>
  <dc:creator/>
  <cp:keywords/>
  <dcterms:created xsi:type="dcterms:W3CDTF">2026-10-28T21:33:29Z</dcterms:created>
  <dcterms:modified xsi:type="dcterms:W3CDTF">2026-10-28T21:33:29Z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