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HC-SOP-006: მედიკამენტები მრავალპირიან ოჯახებში</w:t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ორგანიზაციის სახელი</w:t>
            </w:r>
          </w:p>
          <w:p>
            <w:pPr>
              <w:pStyle w:val="Compact"/>
              <w:jc w:val="left"/>
            </w:pPr>
            <w:r>
              <w:t xml:space="preserve">ობიექტი ან ერთეული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სტანდარტული საოპერაციო პროცედურა</w:t>
            </w:r>
          </w:p>
          <w:p>
            <w:pPr>
              <w:pStyle w:val="Compact"/>
              <w:jc w:val="left"/>
            </w:pPr>
            <w:r>
              <w:t xml:space="preserve">მედიკამენტები მრავალპირიან ოჯახებში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HC-SOP-006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ცარიელი ფორმა, ადაპტაციისთვის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გამოცემის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გადასინჯვის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მფლობელი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სტანდარტები › სტანდარტი 29 › სტანდარტული საოპერაციო პროცედურები (SOPs)</w:t>
        </w:r>
      </w:hyperlink>
      <w:r>
        <w:t xml:space="preserve"/>
      </w:r>
      <w:r>
        <w:t xml:space="preserve"/>
      </w:r>
      <w:r>
        <w:t xml:space="preserve"/>
      </w:r>
      <w:hyperlink r:id="rId21">
        <w:r>
          <w:rPr>
            <w:rStyle w:val="Hyperlink"/>
          </w:rPr>
          <w:t xml:space="preserve"/>
        </w:r>
      </w:hyperlink>
      <w:r>
        <w:t xml:space="preserve"/>
      </w:r>
      <w:r>
        <w:t xml:space="preserve"/>
      </w:r>
      <w:r>
        <w:t xml:space="preserve"/>
      </w:r>
      <w:hyperlink r:id="rId22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პროცედურა · HC-SOP-006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29.19</w:t>
      </w:r>
      <w:r>
        <w:t xml:space="preserve"/>
      </w:r>
      <w:hyperlink r:id="rId23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თითოეული პირის მედიკამენტები ინახება ცალ-ცალკე და მონიშნულია მფლობელის სახელით.</w:t>
      </w:r>
    </w:p>
    <w:p>
      <w:pPr>
        <w:numPr>
          <w:ilvl w:val="0"/>
          <w:numId w:val="1001"/>
        </w:numPr>
        <w:pStyle w:val="Compact"/>
      </w:pPr>
      <w:r>
        <w:t xml:space="preserve">მედიკამენტები თითოეული მიღებამდე მოწმდება მფლობელთან მიმართებით.</w:t>
      </w:r>
    </w:p>
    <w:p>
      <w:pPr>
        <w:numPr>
          <w:ilvl w:val="0"/>
          <w:numId w:val="1001"/>
        </w:numPr>
        <w:pStyle w:val="Compact"/>
      </w:pPr>
      <w:r>
        <w:t xml:space="preserve">კონტროლირებადი მედიკამენტი უსაფრთხოდ ინახება და აღირიცხება (PHM-FRM-002).</w:t>
      </w:r>
    </w:p>
    <w:p>
      <w:pPr>
        <w:numPr>
          <w:ilvl w:val="0"/>
          <w:numId w:val="1001"/>
        </w:numPr>
        <w:pStyle w:val="Compact"/>
      </w:pPr>
      <w:r>
        <w:t xml:space="preserve">ნებისმიერი მედიკამენტი, რომელიც არასწორ პირს მიეცა, დაუყოვნებლივ უნდა იქნას მოხსენებული.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შეწყვიტეთ და მოითხოვეთ დახმარება, თუ: ქმრის გულის ტაბლეტები მის მეუღლეს მიეცა.</w:t>
      </w:r>
    </w:p>
    <w:bookmarkStart w:id="24" w:name="purpose"/>
    <w:p>
      <w:pPr>
        <w:pStyle w:val="Heading2"/>
      </w:pPr>
      <w:r>
        <w:t>მიზანი</w:t>
      </w:r>
    </w:p>
    <w:p>
      <w:pPr>
        <w:pStyle w:val="FirstParagraph"/>
      </w:pPr>
      <w:r>
        <w:t xml:space="preserve">ავიცილოთ თავიდან, რომ ოჯახის ერთმა წევრმა სხვის მედიკამენტს მიიღოს (29.19).</w:t>
      </w:r>
    </w:p>
    <w:bookmarkEnd w:id="24"/>
    <w:bookmarkStart w:id="25" w:name="scope"/>
    <w:p>
      <w:pPr>
        <w:pStyle w:val="Heading2"/>
      </w:pPr>
      <w:r>
        <w:t>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ჯერზე,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მე-15 განყოფილებაში</w:t>
            </w:r>
          </w:p>
        </w:tc>
      </w:tr>
    </w:tbl>
    <w:bookmarkEnd w:id="25"/>
    <w:bookmarkStart w:id="26" w:name="definitions"/>
    <w:p>
      <w:r>
        <w:t>[[PB]]</w:t>
      </w:r>
    </w:p>
    <w:p>
      <w:pPr>
        <w:pStyle w:val="Heading2"/>
      </w:pPr>
      <w:r>
        <w:t>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განყოფილებას ხელმძღვანელობს</w:t>
            </w:r>
          </w:p>
        </w:tc>
      </w:tr>
    </w:tbl>
    <w:bookmarkEnd w:id="26"/>
    <w:bookmarkStart w:id="27" w:name="background"/>
    <w:p>
      <w:pPr>
        <w:pStyle w:val="Heading2"/>
      </w:pPr>
      <w:r>
        <w:t>ფონი</w:t>
      </w:r>
    </w:p>
    <w:p>
      <w:pPr>
        <w:pStyle w:val="FirstParagraph"/>
      </w:pPr>
      <w:r>
        <w:t xml:space="preserve">ერთ სახლში მყოფი სხვადასხვა პირის მედიკამენტები შეიძლება აერიოს, განსაკუთრებით იმ დამხმარემ, რომელიც ოჯახს არ იცნობს. თითოეული პირის მედიკამენტების ცალ-ცალკე შენახვა ამის თავიდან აცილებს.</w:t>
      </w:r>
    </w:p>
    <w:bookmarkEnd w:id="27"/>
    <w:bookmarkStart w:id="28" w:name="responsibilities"/>
    <w:p>
      <w:pPr>
        <w:pStyle w:val="Heading2"/>
      </w:pPr>
      <w:r>
        <w:t>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საშინაო მოვლის 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პასუხისმგებელია შენახვის წესზე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მომვლელი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თითოეული დავალების წინ ამოწმებს მედიკამენტის მფლობელსა და თავად მედიკამენტს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პერსონალი</w:t>
            </w:r>
          </w:p>
        </w:tc>
      </w:tr>
    </w:tbl>
    <w:bookmarkEnd w:id="28"/>
    <w:bookmarkStart w:id="29" w:name="materials-and-equipment"/>
    <w:p>
      <w:r>
        <w:t>[[PB]]</w:t>
      </w:r>
    </w:p>
    <w:p>
      <w:pPr>
        <w:pStyle w:val="Heading2"/>
      </w:pPr>
      <w:r>
        <w:t>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შემოწმებულია</w:t>
            </w:r>
          </w:p>
        </w:tc>
      </w:tr>
    </w:tbl>
    <w:bookmarkEnd w:id="29"/>
    <w:bookmarkStart w:id="30" w:name="safety"/>
    <w:p>
      <w:pPr>
        <w:pStyle w:val="Heading2"/>
      </w:pPr>
      <w:r>
        <w:t>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დაუყოვნებელი რისკი ემუქრება, შეწყვიტეთ და დაუძახეთ დახმარებას. არ გადადოთ გადაუდებელი მოვლა დოკუმენტაციის შევსებისთვის.</w:t>
      </w:r>
    </w:p>
    <w:bookmarkEnd w:id="30"/>
    <w:bookmarkStart w:id="31" w:name="before-you-start"/>
    <w:p>
      <w:pPr>
        <w:pStyle w:val="Heading2"/>
      </w:pPr>
      <w:r>
        <w:t>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აქტუალურია.</w:t>
      </w:r>
    </w:p>
    <w:bookmarkEnd w:id="31"/>
    <w:bookmarkStart w:id="32" w:name="procedure"/>
    <w:p>
      <w:pPr>
        <w:pStyle w:val="Heading2"/>
      </w:pPr>
      <w:r>
        <w:t>პროცედურა</w:t>
      </w:r>
    </w:p>
    <w:p>
      <w:pPr>
        <w:pStyle w:val="FirstParagraph"/>
      </w:pPr>
      <w:r>
        <w:t xml:space="preserve">ნაბიჯი 1. გამოყავით და მონიშნეთ.</w:t>
      </w:r>
    </w:p>
    <w:p>
      <w:pPr>
        <w:numPr>
          <w:ilvl w:val="0"/>
          <w:numId w:val="1004"/>
        </w:numPr>
        <w:pStyle w:val="Compact"/>
      </w:pPr>
      <w:r>
        <w:t xml:space="preserve">თითოეული პირის მედიკამენტები ცალ-ცალკე შეინახეთ, მფლობელის სახელით მონიშნულად.</w:t>
      </w:r>
    </w:p>
    <w:p>
      <w:pPr>
        <w:pStyle w:val="FirstParagraph"/>
      </w:pPr>
      <w:r>
        <w:rPr>
          <w:bCs/>
          <w:b/>
        </w:rPr>
        <w:t>მთავარი პუნქტი:</w:t>
      </w:r>
      <w:r>
        <w:t xml:space="preserve"> </w:t>
      </w:r>
      <w:r>
        <w:t>გამოყოფილია.</w:t>
      </w:r>
    </w:p>
    <w:p>
      <w:pPr>
        <w:pStyle w:val="BodyText"/>
      </w:pPr>
      <w:r>
        <w:t xml:space="preserve">ნაბიჯი 2. შეამოწმეთ მიცემამდე.</w:t>
      </w:r>
    </w:p>
    <w:p>
      <w:pPr>
        <w:numPr>
          <w:ilvl w:val="0"/>
          <w:numId w:val="1005"/>
        </w:numPr>
        <w:pStyle w:val="Compact"/>
      </w:pPr>
      <w:r>
        <w:t xml:space="preserve">შეამოწმეთ მედიკამენტის მფლობელი და თავად მედიკამენტი თითოეული მიღებამდე.</w:t>
      </w:r>
    </w:p>
    <w:p>
      <w:pPr>
        <w:pStyle w:val="FirstParagraph"/>
      </w:pPr>
      <w:r>
        <w:rPr>
          <w:bCs/>
          <w:b/>
        </w:rPr>
        <w:t>მთავარი პუნქტი:</w:t>
      </w:r>
      <w:r>
        <w:t xml:space="preserve"> </w:t>
      </w:r>
      <w:r>
        <w:t>შემოწმებულია.</w:t>
      </w:r>
    </w:p>
    <w:p>
      <w:pPr>
        <w:pStyle w:val="BodyText"/>
      </w:pPr>
      <w:r>
        <w:t xml:space="preserve">ნაბიჯი 3. შეატყობინეთ შეცდომები.</w:t>
      </w:r>
    </w:p>
    <w:p>
      <w:pPr>
        <w:numPr>
          <w:ilvl w:val="0"/>
          <w:numId w:val="1006"/>
        </w:numPr>
        <w:pStyle w:val="Compact"/>
      </w:pPr>
      <w:r>
        <w:t xml:space="preserve">ნებისმიერი მედიკამენტი, რომელიც არასწორ პირს მიეცა, დაუყოვნებლივ შეატყობინეთ INC-POL-001-ის შესაბამისად.</w:t>
      </w:r>
    </w:p>
    <w:p>
      <w:pPr>
        <w:pStyle w:val="FirstParagraph"/>
      </w:pPr>
      <w:r>
        <w:rPr>
          <w:bCs/>
          <w:b/>
        </w:rPr>
        <w:t>მთავარი პუნქტი:</w:t>
      </w:r>
      <w:r>
        <w:t xml:space="preserve"> </w:t>
      </w:r>
      <w:r>
        <w:t>შეტყობინებულია.</w:t>
      </w:r>
    </w:p>
    <w:bookmarkEnd w:id="32"/>
    <w:bookmarkStart w:id="33" w:name="decision-points"/>
    <w:p>
      <w:r>
        <w:t>[[PB]]</w:t>
      </w:r>
    </w:p>
    <w:p>
      <w:pPr>
        <w:pStyle w:val="Heading2"/>
      </w:pPr>
      <w:r>
        <w:t>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special-situations"/>
    <w:p>
      <w:pPr>
        <w:pStyle w:val="Heading2"/>
      </w:pPr>
      <w:r>
        <w:t>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ზარის გრაფიკით განსაზღვრული საკონტაქტო პირი, რომელიც განყოფილების კედელზეა.</w:t>
            </w:r>
          </w:p>
        </w:tc>
      </w:tr>
    </w:tbl>
    <w:bookmarkEnd w:id="34"/>
    <w:bookmarkStart w:id="35" w:name="escalation"/>
    <w:p>
      <w:pPr>
        <w:pStyle w:val="Heading2"/>
      </w:pPr>
      <w:r>
        <w:t>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გადაეცემა მორიგე კლინიკურ ხელმძღვანელს და იმავე დღეს — კლინიკურ დირექტორს.</w:t>
      </w:r>
    </w:p>
    <w:bookmarkEnd w:id="35"/>
    <w:bookmarkStart w:id="36" w:name="monitoring"/>
    <w:p>
      <w:pPr>
        <w:pStyle w:val="Heading2"/>
      </w:pPr>
      <w:r>
        <w:t>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მფლობელი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ოჯახები, სადაც მედიკამენტები გამოყოფილი და მონიშნულია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საშინაო მოვლის 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სამედიცინო დირექტორს</w:t>
            </w:r>
          </w:p>
        </w:tc>
      </w:tr>
    </w:tbl>
    <w:bookmarkEnd w:id="36"/>
    <w:bookmarkStart w:id="37" w:name="records"/>
    <w:p>
      <w:pPr>
        <w:pStyle w:val="Heading2"/>
      </w:pPr>
      <w:r>
        <w:t>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განყოფილების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 წლებში</w:t>
            </w:r>
          </w:p>
        </w:tc>
      </w:tr>
    </w:tbl>
    <w:bookmarkEnd w:id="37"/>
    <w:bookmarkStart w:id="38" w:name="training"/>
    <w:p>
      <w:r>
        <w:t>[[PB]]</w:t>
      </w:r>
    </w:p>
    <w:p>
      <w:pPr>
        <w:pStyle w:val="Heading2"/>
      </w:pPr>
      <w:r>
        <w:t>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ვარჯიშს გადის დაწყებისას და ყოველ წელს ახლდება, აღრიცხული კომპეტენციის შემოწმებით.</w:t>
      </w:r>
    </w:p>
    <w:bookmarkEnd w:id="38"/>
    <w:bookmarkStart w:id="40" w:name="related-documents"/>
    <w:p>
      <w:pPr>
        <w:pStyle w:val="Heading2"/>
      </w:pPr>
      <w:r>
        <w:t>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PHM-FRM-002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კონტროლირებადი მედიკამენტების რეესტრი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რეესტრი</w:t>
            </w:r>
          </w:p>
        </w:tc>
      </w:tr>
    </w:tbl>
    <w:bookmarkEnd w:id="40"/>
    <w:bookmarkStart w:id="41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შემდეგზე: WHO Global strategy and action plan on ageing and health 2016-2030, WHO Integrated care for older people (ICOPE) guidelines (2017), და WHO guidance on migrant health.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change-history"/>
    <w:p>
      <w:r>
        <w:t>[[PB]]</w:t>
      </w:r>
    </w:p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ექსპერტთა კომიტეტის მიერ</w:t>
            </w:r>
          </w:p>
        </w:tc>
      </w:tr>
    </w:tbl>
    <w:bookmarkEnd w:id="42"/>
    <w:bookmarkStart w:id="44" w:name="references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3">
        <w:r>
          <w:rPr>
            <w:rStyle w:val="Hyperlink"/>
          </w:rPr>
          <w:t xml:space="preserve">ჩამოტვირთეთ ეს დოკუმენტი PDF ფორმატში</w:t>
        </w:r>
      </w:hyperlink>
    </w:p>
    <w:bookmarkEnd w:id="44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phm-frm-002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19" TargetMode="External"/><Relationship Id="rId43" Type="http://schemas.openxmlformats.org/officeDocument/2006/relationships/hyperlink" Target="https://france-asf.fr/wp-content/uploads/2026/10/hc-sop-006.pdf" TargetMode="Externa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phm-frm-002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19" TargetMode="External"/><Relationship Id="rId43" Type="http://schemas.openxmlformats.org/officeDocument/2006/relationships/hyperlink" Target="https://france-asf.fr/wp-content/uploads/2026/10/hc-sop-00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HC-SOP-006: Medicines in multi-person households</dc:title>
  <dc:creator/>
  <cp:keywords/>
  <dcterms:created xsi:type="dcterms:W3CDTF">2026-10-28T21:33:29Z</dcterms:created>
  <dcterms:modified xsi:type="dcterms:W3CDTF">2026-10-28T21:33:29Z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