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HH-FRM-001: ხელების ჰიგიენის დაკვირვების აუდიტის ინსტრუმენტი</w:t>
      </w:r>
      <w:r/>
      <w:r/>
      <w:r/>
      <w:r/>
      <w:r/>
      <w:r/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ფორმა</w:t>
            </w:r>
          </w:p>
          <w:p>
            <w:pPr>
              <w:pStyle w:val="Compact"/>
              <w:jc w:val="left"/>
            </w:pPr>
            <w:r>
              <w:t>ხელების ჰიგიენის დაკვირვების აუდიტის ინსტრუმენტი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>HH-FRM-001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›  › </w:t>
      </w:r>
      <w:r/>
      <w:r/>
      <w:hyperlink r:id="rId21">
        <w:r>
          <w:rPr>
            <w:rStyle w:val="Hyperlink"/>
          </w:rPr>
          <w:t xml:space="preserve">Standard 1</w:t>
        </w:r>
      </w:hyperlink>
      <w:r/>
      <w:r/>
      <w:r/>
      <w:hyperlink r:id="rId22">
        <w:r>
          <w:rPr>
            <w:rStyle w:val="Hyperlink"/>
          </w:rPr>
          <w:t xml:space="preserve">Forms</w:t>
        </w:r>
      </w:hyperlink>
    </w:p>
    <w:p>
      <w:pPr>
        <w:pStyle w:val="BodyText"/>
      </w:pPr>
      <w:r>
        <w:t>ფორმა · HH-FRM-001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1.2</w:t>
        </w:r>
      </w:hyperlink>
    </w:p>
    <w:p>
      <w:pPr>
        <w:pStyle w:val="BodyText"/>
      </w:pPr>
      <w:r>
        <w:t>მოკლედ</w:t>
      </w:r>
    </w:p>
    <w:p>
      <w:pPr>
        <w:numPr>
          <w:ilvl w:val="0"/>
          <w:numId w:val="1001"/>
        </w:numPr>
        <w:pStyle w:val="Compact"/>
      </w:pPr>
      <w:r>
        <w:t>დააკვირდით მინიმუმ 30 წუთის განმავლობაში, წინასწარ შეტყობინების გარეშე.</w:t>
      </w:r>
    </w:p>
    <w:p>
      <w:pPr>
        <w:numPr>
          <w:ilvl w:val="0"/>
          <w:numId w:val="1001"/>
        </w:numPr>
        <w:pStyle w:val="Compact"/>
      </w:pPr>
      <w:r>
        <w:t>დათვალეთ ხუთი მომენტი და ის, შესრულდა თუ არა ხელების ჰიგიენა.</w:t>
      </w:r>
    </w:p>
    <w:p>
      <w:pPr>
        <w:numPr>
          <w:ilvl w:val="0"/>
          <w:numId w:val="1001"/>
        </w:numPr>
        <w:pStyle w:val="Compact"/>
      </w:pPr>
      <w:r>
        <w:t>შესრულება არის შესრულებული რაოდენობა, გაყოფილი ჯამზე და გამრავლებული 100-ზე.</w:t>
      </w:r>
    </w:p>
    <w:p>
      <w:pPr>
        <w:numPr>
          <w:ilvl w:val="0"/>
          <w:numId w:val="1001"/>
        </w:numPr>
        <w:pStyle w:val="Compact"/>
      </w:pPr>
      <w:r>
        <w:t>70%-ზე დაბალი ნებისმიერი შედეგისთვის შეთანხმდით ერთ მოქმედებაზე.</w:t>
      </w:r>
    </w:p>
    <w:p>
      <w:pPr>
        <w:numPr>
          <w:ilvl w:val="0"/>
          <w:numId w:val="1001"/>
        </w:numPr>
        <w:pStyle w:val="Compact"/>
      </w:pPr>
      <w:r>
        <w:t>დაუყოვნებლივ შეაჩერეთ და მოითხოვეთ დახმარება, თუ: დაკვირვების დროს სადგური ცარიელია, ან 70%-ზე დაბალ შედეგს შეთანხმებული მოქმედება არ აქვს.</w:t>
      </w:r>
    </w:p>
    <w:bookmarkStart w:id="24" w:name="purpose"/>
    <w:p>
      <w:pPr>
        <w:pStyle w:val="Heading2"/>
      </w:pPr>
      <w:r>
        <w:t>1. მიზანი</w:t>
      </w:r>
    </w:p>
    <w:p>
      <w:pPr>
        <w:pStyle w:val="FirstParagraph"/>
      </w:pPr>
      <w:r>
        <w:t>იმისთვის, რომ აღირიცხოს ხელების ჰიგიენის პირდაპირი დაკვირვება ხუთ მომენტში, ყოველთვიური განყოფილების აუდიტისთვის [E-001].</w:t>
      </w:r>
    </w:p>
    <w:bookmarkEnd w:id="24"/>
    <w:bookmarkStart w:id="25" w:name="scope"/>
    <w:p>
      <w:pPr>
        <w:pStyle w:val="Heading2"/>
      </w:pPr>
      <w:r>
        <w:t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>სფერო ან განყოფილება</w:t>
            </w:r>
          </w:p>
        </w:tc>
        <w:tc>
          <w:tcPr/>
          <w:p>
            <w:pPr>
              <w:pStyle w:val="Compact"/>
              <w:jc w:val="left"/>
            </w:pPr>
            <w:r>
              <w:t>[ჩაწერეთ აქ]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დაკვირვების თარიღი და დრო</w:t>
            </w:r>
          </w:p>
        </w:tc>
        <w:tc>
          <w:tcPr/>
          <w:p>
            <w:pPr>
              <w:pStyle w:val="Compact"/>
              <w:jc w:val="left"/>
            </w:pPr>
            <w:r>
              <w:t>[ჩაწერეთ აქ]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დამკვირვებლის სახელი ან როლი</w:t>
            </w:r>
          </w:p>
        </w:tc>
        <w:tc>
          <w:tcPr/>
          <w:p>
            <w:pPr>
              <w:pStyle w:val="Compact"/>
              <w:jc w:val="left"/>
            </w:pPr>
            <w:r>
              <w:t>[ჩაწერეთ აქ]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დაკვირვებული შესაძლებლობების ჯამი</w:t>
            </w:r>
          </w:p>
        </w:tc>
        <w:tc>
          <w:tcPr/>
          <w:p>
            <w:pPr>
              <w:pStyle w:val="Compact"/>
              <w:jc w:val="left"/>
            </w:pPr>
            <w:r>
              <w:t>[ჩაწერეთ აქ, მინიმუმ 20]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შესაძლებლობები ხელების ჰიგიენით</w:t>
            </w:r>
          </w:p>
        </w:tc>
        <w:tc>
          <w:tcPr/>
          <w:p>
            <w:pPr>
              <w:pStyle w:val="Compact"/>
              <w:jc w:val="left"/>
            </w:pPr>
            <w:r>
              <w:t>[ჩაწერეთ აქ]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შესრულება (%)</w:t>
            </w:r>
          </w:p>
        </w:tc>
        <w:tc>
          <w:tcPr/>
          <w:p>
            <w:pPr>
              <w:pStyle w:val="Compact"/>
              <w:jc w:val="left"/>
            </w:pPr>
            <w:r>
              <w:t>[შესაძლებლობები ხელების ჰიგიენით, გაყოფილი ჯამზე, გამრავლებული 100-ზე]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სადგური ცარიელი იყო დაკვირვების დროს?</w:t>
            </w:r>
          </w:p>
        </w:tc>
        <w:tc>
          <w:tcPr/>
          <w:p>
            <w:pPr>
              <w:pStyle w:val="Compact"/>
              <w:jc w:val="left"/>
            </w:pPr>
            <w:r>
              <w:t>დიახ / არა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შეთანხმებული მოქმედება</w:t>
            </w:r>
          </w:p>
        </w:tc>
        <w:tc>
          <w:tcPr/>
          <w:p>
            <w:pPr>
              <w:pStyle w:val="Compact"/>
              <w:jc w:val="left"/>
            </w:pPr>
            <w:r>
              <w:t>[ჩაწერეთ აქ]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5"/>
    <w:bookmarkStart w:id="26" w:name="definitions"/>
    <w:p>
      <w:pPr>
        <w:pStyle w:val="Heading2"/>
      </w:pPr>
      <w:r>
        <w:t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შესრულება</w:t>
            </w:r>
          </w:p>
        </w:tc>
        <w:tc>
          <w:tcPr/>
          <w:p>
            <w:pPr>
              <w:pStyle w:val="Compact"/>
              <w:jc w:val="left"/>
            </w:pPr>
            <w:r>
              <w:t>ხელების ჰიგიენა შესრულებული მომენტში, გაყოფილი დაკვირვებულ შესაძლებლობებზე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შესაძლებლობა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>ხუთი მომენტიდან ერთი, დაკვირვებული ერთ თანამშრომელზე, ერთ მოვლის ეპიზოდში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background"/>
    <w:p>
      <w:pPr>
        <w:pStyle w:val="Heading2"/>
      </w:pPr>
      <w:r>
        <w:t>4. საფუძვლები</w:t>
      </w:r>
    </w:p>
    <w:p>
      <w:pPr>
        <w:pStyle w:val="FirstParagraph"/>
      </w:pPr>
      <w:r>
        <w:t>გამოყენება,შეავსეთ ერთი ფორმა ყოველ სფეროზე თვეში, 20 დაკვირვებული შესაძლებლობის გამოყენებით.</w:t>
      </w:r>
    </w:p>
    <w:bookmarkEnd w:id="27"/>
    <w:bookmarkStart w:id="28" w:name="responsibilities"/>
    <w:p>
      <w:pPr>
        <w:pStyle w:val="Heading2"/>
      </w:pPr>
      <w:r>
        <w:t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როლი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დამკვირვებელი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ავსებს ფორმას პირდაპირი დაკვირვებით, თანამშრომლებისთვის წინასწარ შეტყობინების გარეშე</w:t>
            </w:r>
          </w:p>
        </w:tc>
        <w:tc>
          <w:tcPr/>
          <w:p>
            <w:pPr>
              <w:pStyle w:val="Compact"/>
              <w:jc w:val="left"/>
            </w:pPr>
            <w:r>
              <w:t>გადამზადებული დამკვირვებელი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განყოფილების ან ერთეულის მენეჯერი</w:t>
            </w:r>
          </w:p>
        </w:tc>
        <w:tc>
          <w:tcPr/>
          <w:p>
            <w:pPr>
              <w:pStyle w:val="Compact"/>
              <w:jc w:val="left"/>
            </w:pPr>
            <w:r>
              <w:t>იღებს ფორმას და თანხმდება მოქმედებებზე</w:t>
            </w:r>
          </w:p>
        </w:tc>
        <w:tc>
          <w:tcPr/>
          <w:p>
            <w:pPr>
              <w:pStyle w:val="Compact"/>
              <w:jc w:val="left"/>
            </w:pPr>
            <w:r>
              <w:t>ერთეულის ხელმძღვანელობა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materials-and-equipment"/>
    <w:p>
      <w:pPr>
        <w:pStyle w:val="Heading2"/>
      </w:pPr>
      <w:r>
        <w:t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>პირობა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ეს ფორმა</w:t>
            </w:r>
          </w:p>
        </w:tc>
        <w:tc>
          <w:tcPr/>
          <w:p>
            <w:pPr>
              <w:pStyle w:val="Compact"/>
              <w:jc w:val="left"/>
            </w:pPr>
            <w:r>
              <w:t>ქაღალდზე ან ელექტრონული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9"/>
    <w:bookmarkStart w:id="30" w:name="safety"/>
    <w:p>
      <w:pPr>
        <w:pStyle w:val="Heading2"/>
      </w:pPr>
      <w:r>
        <w:t>7. უსაფრთხოება</w:t>
      </w:r>
    </w:p>
    <w:p>
      <w:pPr>
        <w:numPr>
          <w:ilvl w:val="0"/>
          <w:numId w:val="1002"/>
        </w:numPr>
        <w:pStyle w:val="Compact"/>
      </w:pPr>
      <w:r>
        <w:t>კონფიდენციალურობა,ფორმაზე თანამშრომლების სახელები არ ჩაწეროთ.</w:t>
      </w:r>
    </w:p>
    <w:bookmarkEnd w:id="30"/>
    <w:bookmarkStart w:id="31" w:name="before-you-start"/>
    <w:p>
      <w:pPr>
        <w:pStyle w:val="Heading2"/>
      </w:pPr>
      <w:r>
        <w:t>8. დაწყებამდე</w:t>
      </w:r>
    </w:p>
    <w:p>
      <w:pPr>
        <w:numPr>
          <w:ilvl w:val="0"/>
          <w:numId w:val="1003"/>
        </w:numPr>
        <w:pStyle w:val="Compact"/>
      </w:pPr>
      <w:r>
        <w:t>დაკვირვებამდე,წაიკითხეთ HH-SOP-001 ხუთი მომენტის შესახებ.</w:t>
      </w:r>
    </w:p>
    <w:bookmarkEnd w:id="31"/>
    <w:bookmarkStart w:id="32" w:name="procedure"/>
    <w:p>
      <w:pPr>
        <w:pStyle w:val="Heading2"/>
      </w:pPr>
      <w:r>
        <w:t>9. პროცედურა</w:t>
      </w:r>
    </w:p>
    <w:p>
      <w:pPr>
        <w:pStyle w:val="FirstParagraph"/>
      </w:pPr>
      <w:r>
        <w:t>ნაბიჯი 1. აირჩიეთ სფერო და დრო.</w:t>
      </w:r>
    </w:p>
    <w:p>
      <w:pPr>
        <w:numPr>
          <w:ilvl w:val="0"/>
          <w:numId w:val="1004"/>
        </w:numPr>
        <w:pStyle w:val="Compact"/>
      </w:pPr>
      <w:r>
        <w:t>დააკვირდით მინიმუმ 30 წუთის განმავლობაში, იმ დროს, როცა მოვლა ტარდება.</w:t>
      </w:r>
    </w:p>
    <w:p>
      <w:pPr>
        <w:pStyle w:val="FirstParagraph"/>
      </w:pPr>
      <w:r>
        <w:rPr>
          <w:bCs/>
          <w:b/>
        </w:rPr>
        <w:t>მთავარი აქცენტი: აუდიტი წინასწარ არ გააცხადოთ.</w:t>
      </w:r>
      <w:r/>
      <w:r/>
    </w:p>
    <w:p>
      <w:pPr>
        <w:pStyle w:val="BodyText"/>
      </w:pPr>
      <w:r>
        <w:t>ნაბიჯი 2. დათვალეთ ყოველი შესაძლებლობა.</w:t>
      </w:r>
    </w:p>
    <w:p>
      <w:pPr>
        <w:numPr>
          <w:ilvl w:val="0"/>
          <w:numId w:val="1005"/>
        </w:numPr>
        <w:pStyle w:val="Compact"/>
      </w:pPr>
      <w:r>
        <w:t>მონიშნეთ ხუთი მომენტიდან ყოველი, რომელსაც ხედავთ.</w:t>
      </w:r>
    </w:p>
    <w:p>
      <w:pPr>
        <w:numPr>
          <w:ilvl w:val="0"/>
          <w:numId w:val="1005"/>
        </w:numPr>
        <w:pStyle w:val="Compact"/>
      </w:pPr>
      <w:r>
        <w:t>აღრიცხეთ როგორც შესრულებული ან არშესრულებული.</w:t>
      </w:r>
    </w:p>
    <w:p>
      <w:pPr>
        <w:pStyle w:val="FirstParagraph"/>
      </w:pPr>
      <w:r>
        <w:rPr>
          <w:bCs/>
          <w:b/>
        </w:rPr>
        <w:t>მთავარი აქცენტი: ითვლიდეთ მომენტს და არა თანამშრომელს.</w:t>
      </w:r>
      <w:r/>
      <w:r/>
    </w:p>
    <w:p>
      <w:pPr>
        <w:pStyle w:val="BodyText"/>
      </w:pPr>
      <w:r>
        <w:t>ნაბიჯი 3. შესრულების გამოთვლა.</w:t>
      </w:r>
    </w:p>
    <w:p>
      <w:pPr>
        <w:numPr>
          <w:ilvl w:val="0"/>
          <w:numId w:val="1006"/>
        </w:numPr>
        <w:pStyle w:val="Compact"/>
      </w:pPr>
      <w:r>
        <w:t>გაყავით ხელების ჰიგიენით შესრულებული შესაძლებლობები ჯამურ შესაძლებლობებზე.</w:t>
      </w:r>
    </w:p>
    <w:p>
      <w:pPr>
        <w:numPr>
          <w:ilvl w:val="0"/>
          <w:numId w:val="1006"/>
        </w:numPr>
        <w:pStyle w:val="Compact"/>
      </w:pPr>
      <w:r>
        <w:t>გაამრავლეთ 100-ზე.</w:t>
      </w:r>
    </w:p>
    <w:p>
      <w:pPr>
        <w:pStyle w:val="FirstParagraph"/>
      </w:pPr>
      <w:r>
        <w:rPr>
          <w:bCs/>
          <w:b/>
        </w:rPr>
        <w:t>მთავარი აქცენტი: სამიზნე 70% ან მეტია.</w:t>
      </w:r>
      <w:r/>
      <w:r/>
    </w:p>
    <w:p>
      <w:pPr>
        <w:pStyle w:val="BodyText"/>
      </w:pPr>
      <w:r>
        <w:t>ნაბიჯი 4. მოქმედებების შეთანხმება.</w:t>
      </w:r>
    </w:p>
    <w:p>
      <w:pPr>
        <w:numPr>
          <w:ilvl w:val="0"/>
          <w:numId w:val="1007"/>
        </w:numPr>
        <w:pStyle w:val="Compact"/>
      </w:pPr>
      <w:r>
        <w:t>ნებისმიერი ხარვეზისთვის განყოფილების მენეჯერთან შეათანხმეთ ერთი მოქმედება.</w:t>
      </w:r>
    </w:p>
    <w:p>
      <w:pPr>
        <w:numPr>
          <w:ilvl w:val="0"/>
          <w:numId w:val="1007"/>
        </w:numPr>
        <w:pStyle w:val="Compact"/>
      </w:pPr>
      <w:r>
        <w:t>ჩაწერეთ, ვინ შეასრულებს და როდის.</w:t>
      </w:r>
    </w:p>
    <w:p>
      <w:pPr>
        <w:pStyle w:val="FirstParagraph"/>
      </w:pPr>
      <w:r>
        <w:rPr>
          <w:bCs/>
          <w:b/>
        </w:rPr>
        <w:t>მთავარი აქცენტი: ხარვეზი მოქმედების გარეშე დახურული არ არის.</w:t>
      </w:r>
      <w:r/>
      <w:r/>
    </w:p>
    <w:bookmarkEnd w:id="32"/>
    <w:bookmarkStart w:id="33" w:name="decision-points"/>
    <w:p>
      <w:pPr>
        <w:pStyle w:val="Heading2"/>
      </w:pPr>
      <w:r>
        <w:t>10. გადაწყვეტილების წერტილები</w:t>
      </w:r>
    </w:p>
    <w:p>
      <w:pPr>
        <w:numPr>
          <w:ilvl w:val="0"/>
          <w:numId w:val="1008"/>
        </w:numPr>
        <w:pStyle w:val="Compact"/>
      </w:pPr>
      <w:r>
        <w:t>70%-ზე დაბლა,საჭიროა მოქმედება, ეცნობება მმართველობას.</w:t>
      </w:r>
    </w:p>
    <w:bookmarkEnd w:id="33"/>
    <w:bookmarkStart w:id="34" w:name="special-situations"/>
    <w:p>
      <w:pPr>
        <w:pStyle w:val="Heading2"/>
      </w:pPr>
      <w:r>
        <w:t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სფერო 20-ზე ნაკლები შესაძლებლობით</w:t>
            </w:r>
          </w:p>
        </w:tc>
        <w:tc>
          <w:tcPr/>
          <w:p>
            <w:pPr>
              <w:pStyle w:val="Compact"/>
              <w:jc w:val="left"/>
            </w:pPr>
            <w:r>
              <w:t>დაკვირვება გააგრძელეთ მეორე დღეს.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4"/>
    <w:bookmarkStart w:id="35" w:name="escalation"/>
    <w:p>
      <w:pPr>
        <w:pStyle w:val="Heading2"/>
      </w:pPr>
      <w:r>
        <w:t>12. ესკალაცია</w:t>
      </w:r>
    </w:p>
    <w:p>
      <w:pPr>
        <w:numPr>
          <w:ilvl w:val="0"/>
          <w:numId w:val="1009"/>
        </w:numPr>
        <w:pStyle w:val="Compact"/>
      </w:pPr>
      <w:r>
        <w:t>სადგური ცარიელია,ადგილზე აცნობეთ განყოფილების მენეჯერს.</w:t>
      </w:r>
    </w:p>
    <w:bookmarkEnd w:id="35"/>
    <w:bookmarkStart w:id="36" w:name="monitoring"/>
    <w:p>
      <w:pPr>
        <w:pStyle w:val="Heading2"/>
      </w:pPr>
      <w:r>
        <w:t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სამიზნე</w:t>
            </w:r>
          </w:p>
        </w:tc>
        <w:tc>
          <w:tcPr/>
          <w:p>
            <w:pPr>
              <w:pStyle w:val="Compact"/>
              <w:jc w:val="left"/>
            </w:pPr>
            <w:r>
              <w:t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ყოველთვიურად</w:t>
            </w:r>
          </w:p>
        </w:tc>
        <w:tc>
          <w:tcPr/>
          <w:p>
            <w:pPr>
              <w:pStyle w:val="Compact"/>
              <w:jc w:val="left"/>
            </w:pPr>
            <w:r>
              <w:t>ფორმებს ყოველ კვარტალში ინფექციის პრევენციის ხელმძღვანელი განიხილავს.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6"/>
    <w:bookmarkStart w:id="37" w:name="records"/>
    <w:p>
      <w:pPr>
        <w:pStyle w:val="Heading2"/>
      </w:pPr>
      <w:r>
        <w:t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შევსებული ფორმა</w:t>
            </w:r>
          </w:p>
        </w:tc>
        <w:tc>
          <w:tcPr/>
          <w:p>
            <w:pPr>
              <w:pStyle w:val="Compact"/>
              <w:jc w:val="left"/>
            </w:pPr>
            <w:r>
              <w:t>ერთეულის საქმე</w:t>
            </w:r>
          </w:p>
        </w:tc>
        <w:tc>
          <w:tcPr/>
          <w:p>
            <w:pPr>
              <w:pStyle w:val="Compact"/>
              <w:jc w:val="left"/>
            </w:pPr>
            <w:r>
              <w:t>სამი წელი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7"/>
    <w:bookmarkStart w:id="38" w:name="training"/>
    <w:p>
      <w:pPr>
        <w:pStyle w:val="Heading2"/>
      </w:pPr>
      <w:r>
        <w:t>15. ტრენინგი</w:t>
      </w:r>
    </w:p>
    <w:p>
      <w:pPr>
        <w:numPr>
          <w:ilvl w:val="0"/>
          <w:numId w:val="1010"/>
        </w:numPr>
        <w:pStyle w:val="Compact"/>
      </w:pPr>
      <w:r>
        <w:t>დამკვირვებლის მომზადება პირველ აუდიტამდე</w:t>
      </w:r>
    </w:p>
    <w:p>
      <w:pPr>
        <w:numPr>
          <w:ilvl w:val="0"/>
          <w:numId w:val="1010"/>
        </w:numPr>
        <w:pStyle w:val="Compact"/>
      </w:pPr>
      <w:r>
        <w:t>ყოველ წელს ხელმეორედ შემოწმება</w:t>
      </w:r>
    </w:p>
    <w:bookmarkEnd w:id="38"/>
    <w:bookmarkStart w:id="40" w:name="related-documents"/>
    <w:p>
      <w:pPr>
        <w:pStyle w:val="Heading2"/>
      </w:pPr>
      <w:r>
        <w:t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ID</w:t>
            </w:r>
          </w:p>
        </w:tc>
        <w:tc>
          <w:tcPr/>
          <w:p>
            <w:pPr>
              <w:pStyle w:val="Compact"/>
              <w:jc w:val="left"/>
            </w:pPr>
            <w:r>
              <w:t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HH-SOP-001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ხელების ჰიგიენა მოვლის ადგილზე</w:t>
            </w:r>
          </w:p>
        </w:tc>
        <w:tc>
          <w:tcPr/>
          <w:p>
            <w:pPr>
              <w:pStyle w:val="Compact"/>
              <w:jc w:val="left"/>
            </w:pPr>
            <w:r>
              <w:t>აუდიტირებული პროცედურა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0"/>
    <w:bookmarkStart w:id="41" w:name="evidence"/>
    <w:p>
      <w:pPr>
        <w:pStyle w:val="Heading2"/>
      </w:pPr>
      <w:r>
        <w:t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E-001</w:t>
            </w:r>
          </w:p>
        </w:tc>
        <w:tc>
          <w:tcPr/>
          <w:p>
            <w:pPr>
              <w:pStyle w:val="Compact"/>
              <w:jc w:val="left"/>
            </w:pPr>
            <w:r>
              <w:t>WHO Guidelines on Hand Hygiene in Health Care. ჟენევა: WHO. დამტკიცებული, საბოლოო.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1"/>
    <w:bookmarkStart w:id="42" w:name="change-history"/>
    <w:p>
      <w:pPr>
        <w:pStyle w:val="Heading2"/>
      </w:pPr>
      <w:r>
        <w:t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1.0</w:t>
            </w:r>
          </w:p>
        </w:tc>
        <w:tc>
          <w:tcPr/>
          <w:p>
            <w:pPr>
              <w:pStyle w:val="Compact"/>
              <w:jc w:val="left"/>
            </w:pPr>
            <w:r>
              <w:t>—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დამტკიცებული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2"/>
    <w:bookmarkStart w:id="45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11"/>
        </w:numPr>
        <w:pStyle w:val="Compact"/>
      </w:pPr>
      <w:r>
        <w:t>ჯანდაცვის მსოფლიო ორგანიზაცია (2009). WHO Guidelines on Hand Hygiene in Health Care. ჟენევა: WHO.  (E-001)</w:t>
      </w:r>
      <w:r/>
      <w:hyperlink r:id="rId43">
        <w:r>
          <w:rPr>
            <w:rStyle w:val="Hyperlink"/>
          </w:rPr>
          <w:t xml:space="preserve">Open source</w:t>
        </w:r>
      </w:hyperlink>
      <w:r/>
      <w:r/>
    </w:p>
    <w:p>
      <w:pPr>
        <w:pStyle w:val="FirstParagraph"/>
      </w:pPr>
      <w:hyperlink r:id="rId44">
        <w:r>
          <w:rPr>
            <w:rStyle w:val="Hyperlink"/>
          </w:rPr>
          <w:t xml:space="preserve">Download this document as PDF</w:t>
        </w:r>
      </w:hyperlink>
    </w:p>
    <w:bookmarkEnd w:id="45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39" Type="http://schemas.openxmlformats.org/officeDocument/2006/relationships/hyperlink" Target="/documents/hh-sop-001/" TargetMode="External"/><Relationship Id="rId22" Type="http://schemas.openxmlformats.org/officeDocument/2006/relationships/hyperlink" Target="/resources/form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/" TargetMode="External"/><Relationship Id="rId23" Type="http://schemas.openxmlformats.org/officeDocument/2006/relationships/hyperlink" Target="/standards/standard-1/#c1-2" TargetMode="External"/><Relationship Id="rId44" Type="http://schemas.openxmlformats.org/officeDocument/2006/relationships/hyperlink" Target="https://france-asf.fr/wp-content/uploads/2026/10/hh-frm-001.pdf" TargetMode="External"/><Relationship Id="rId43" Type="http://schemas.openxmlformats.org/officeDocument/2006/relationships/hyperlink" Target="https://www.who.int/publications/i/item/9789241597906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39" Type="http://schemas.openxmlformats.org/officeDocument/2006/relationships/hyperlink" Target="/documents/hh-sop-001/" TargetMode="External"/><Relationship Id="rId22" Type="http://schemas.openxmlformats.org/officeDocument/2006/relationships/hyperlink" Target="/resources/form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1/" TargetMode="External"/><Relationship Id="rId23" Type="http://schemas.openxmlformats.org/officeDocument/2006/relationships/hyperlink" Target="/standards/standard-1/#c1-2" TargetMode="External"/><Relationship Id="rId44" Type="http://schemas.openxmlformats.org/officeDocument/2006/relationships/hyperlink" Target="https://france-asf.fr/wp-content/uploads/2026/10/hh-frm-001.pdf" TargetMode="External"/><Relationship Id="rId43" Type="http://schemas.openxmlformats.org/officeDocument/2006/relationships/hyperlink" Target="https://www.who.int/publications/i/item/97892415979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HH-FRM-001: Hand Hygiene Observation Audit Tool</dc:title>
  <dc:creator/>
  <cp:keywords/>
  <dcterms:created xsi:type="dcterms:W3CDTF">2026-10-28T21:34:16Z</dcterms:created>
  <dcterms:modified xsi:type="dcterms:W3CDTF">2026-10-28T21:34:16Z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