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HH-POL-001: ხელის ჰიგიენის პოლიტიკა</w:t>
      </w:r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პოლიტიკა</w:t>
            </w:r>
          </w:p>
          <w:p>
            <w:pPr>
              <w:pStyle w:val="Compact"/>
              <w:jc w:val="left"/>
            </w:pPr>
            <w:r>
              <w:t>ხელის ჰიგიენის პოლიტიკა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HH-POL-001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1</w:t>
        </w:r>
      </w:hyperlink>
      <w:r/>
      <w:r/>
      <w:r/>
      <w:hyperlink r:id="rId22">
        <w:r>
          <w:rPr>
            <w:rStyle w:val="Hyperlink"/>
          </w:rPr>
          <w:t xml:space="preserve">Policies</w:t>
        </w:r>
      </w:hyperlink>
    </w:p>
    <w:p>
      <w:pPr>
        <w:pStyle w:val="BodyText"/>
      </w:pPr>
      <w:r>
        <w:t>პოლიტიკა · HH-POL-001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1.2</w:t>
        </w:r>
      </w:hyperlink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ხელის ჰიგიენა სავალდებულოა მოვლის ხუთ მომენტში, ყველა დაწესებულებაში.</w:t>
      </w:r>
    </w:p>
    <w:p>
      <w:pPr>
        <w:numPr>
          <w:ilvl w:val="0"/>
          <w:numId w:val="1001"/>
        </w:numPr>
        <w:pStyle w:val="Compact"/>
      </w:pPr>
      <w:r>
        <w:t>სადგური უნდა იყოს ხელმისაწვდომი მოვლის ყოველ ადგილას.</w:t>
      </w:r>
    </w:p>
    <w:p>
      <w:pPr>
        <w:numPr>
          <w:ilvl w:val="0"/>
          <w:numId w:val="1001"/>
        </w:numPr>
        <w:pStyle w:val="Compact"/>
      </w:pPr>
      <w:r>
        <w:t>შესრულება დაკვირვებით მინიმუმ თვეში ერთხელ ფიქსირდება და არა თვითანგარიშით.</w:t>
      </w:r>
    </w:p>
    <w:p>
      <w:pPr>
        <w:numPr>
          <w:ilvl w:val="0"/>
          <w:numId w:val="1001"/>
        </w:numPr>
        <w:pStyle w:val="Compact"/>
      </w:pPr>
      <w:r>
        <w:t>აუდიტის შედეგები წარდგენილია და ყოველ ხარვეზს აქვს ქმედება.</w:t>
      </w:r>
    </w:p>
    <w:p>
      <w:pPr>
        <w:numPr>
          <w:ilvl w:val="0"/>
          <w:numId w:val="1001"/>
        </w:numPr>
        <w:pStyle w:val="Compact"/>
      </w:pPr>
      <w:r>
        <w:t>დაუყოვნებლივ შეაჩერეთ და მიიღეთ დახმარება, თუ: სადგური მოვლის ადგილას არ არის ხელმისაწვდომი ან აუდიტის შედეგზე რეაგირება არ ხდება.</w:t>
      </w:r>
    </w:p>
    <w:bookmarkStart w:id="24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ორგანიზაციის ვალდებულების განსაზღვრა ხელის ჰიგიენაზე მოვლის ადგილზე და სტანდარტი, რომელიც ყველა დაწესებულებას ეხება [E-001].</w:t>
      </w:r>
    </w:p>
    <w:bookmarkEnd w:id="24"/>
    <w:bookmarkStart w:id="25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ყველა თანამშრომელი, სტუდენტი, მოხალისე და კონტრაქტორი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>ყველა კლინიკური და კლინიკური მხარდაჭერის სივრცე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ხელის ჰიგიენა</w:t>
            </w:r>
          </w:p>
        </w:tc>
        <w:tc>
          <w:tcPr/>
          <w:p>
            <w:pPr>
              <w:pStyle w:val="Compact"/>
              <w:jc w:val="left"/>
            </w:pPr>
            <w:r>
              <w:t>ხელების გაწმენდა ანტისეპტიკური ხსნარით ან საპნითა და წყლით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ხუთი მომენტი</w:t>
            </w:r>
          </w:p>
        </w:tc>
        <w:tc>
          <w:tcPr/>
          <w:p>
            <w:pPr>
              <w:pStyle w:val="Compact"/>
              <w:jc w:val="left"/>
            </w:pPr>
            <w:r>
              <w:t>ხელის ჰიგიენის WHO-ს მოვლის მომენტები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საფუძველი,WHO Guidelines on Hand Hygiene in Health Care (2009) [E-001].</w:t>
      </w:r>
    </w:p>
    <w:bookmarkEnd w:id="27"/>
    <w:bookmarkStart w:id="28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 აღმასრულებელი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ამტკიცებს პოლიტიკას. იღებს აუდიტის ანგარიშს.</w:t>
            </w:r>
          </w:p>
        </w:tc>
        <w:tc>
          <w:tcPr/>
          <w:p>
            <w:pPr>
              <w:pStyle w:val="Compact"/>
              <w:jc w:val="left"/>
            </w:pPr>
            <w:r>
              <w:t>ხელმძღვანელობა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ინფექციების პრევენციის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ინახავს პროცედურასა და აუდიტის მეთოდს.</w:t>
            </w:r>
          </w:p>
        </w:tc>
        <w:tc>
          <w:tcPr/>
          <w:p>
            <w:pPr>
              <w:pStyle w:val="Compact"/>
              <w:jc w:val="left"/>
            </w:pPr>
            <w:r>
              <w:t>ინფექციების პრევენცია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პალატის ან განყოფილების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>უზრუნველყოფს სადგურების შევსებასა და აუდიტების ჩატარებას.</w:t>
            </w:r>
          </w:p>
        </w:tc>
        <w:tc>
          <w:tcPr/>
          <w:p>
            <w:pPr>
              <w:pStyle w:val="Compact"/>
              <w:jc w:val="left"/>
            </w:pPr>
            <w:r>
              <w:t>განყოფილების ხელმძღვანელობა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პერსონალის ყველა წევრი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პროცედურას HH-SOP-001.</w:t>
            </w:r>
          </w:p>
        </w:tc>
        <w:tc>
          <w:tcPr/>
          <w:p>
            <w:pPr>
              <w:pStyle w:val="Compact"/>
              <w:jc w:val="left"/>
            </w:pPr>
            <w:r>
              <w:t>ინდუქცია და ყოველწლიური კომპეტენცია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პირობა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HH-SOP-001</w:t>
            </w:r>
          </w:p>
        </w:tc>
        <w:tc>
          <w:tcPr/>
          <w:p>
            <w:pPr>
              <w:pStyle w:val="Compact"/>
              <w:jc w:val="left"/>
            </w:pPr>
            <w:r>
              <w:t>ამ პოლიტიკას მოქმედი პროცედურა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მარაგი,ორგანიზაცია უზრუნველყოფს დამტკიცებულ პროდუქტებს მოვლის ყოველ ადგილას.</w:t>
      </w:r>
    </w:p>
    <w:bookmarkEnd w:id="30"/>
    <w:bookmarkStart w:id="31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პირველ სამუშაომდე,ყოველი თანამშრომელი გადის ინდუქციას ამ პოლიტიკაზე.</w:t>
      </w:r>
    </w:p>
    <w:bookmarkEnd w:id="31"/>
    <w:bookmarkStart w:id="32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ეტაპი 1. პოლიტიკის დებულება 1: ხელის ჰიგიენა სავალდებულოა მოვლის ხუთ მომენტში.</w:t>
      </w:r>
    </w:p>
    <w:p>
      <w:pPr>
        <w:numPr>
          <w:ilvl w:val="0"/>
          <w:numId w:val="1004"/>
        </w:numPr>
        <w:pStyle w:val="Compact"/>
      </w:pPr>
      <w:r>
        <w:t>გამოიყენეთ HH-SOP-001 პაციენტთან ყოველ კონტაქტზე.</w:t>
      </w:r>
    </w:p>
    <w:p>
      <w:pPr>
        <w:pStyle w:val="FirstParagraph"/>
      </w:pPr>
      <w:r>
        <w:rPr>
          <w:bCs/>
          <w:b/>
        </w:rPr>
        <w:t>მთავარი დებულება: ხუთი მომენტი მინიმუმია.</w:t>
      </w:r>
      <w:r/>
      <w:r/>
    </w:p>
    <w:p>
      <w:pPr>
        <w:pStyle w:val="BodyText"/>
      </w:pPr>
      <w:r>
        <w:t>ეტაპი 2. პოლიტიკის დებულება 2: სადგურები ხელმისაწვდომია მოვლის ყოველ ადგილას.</w:t>
      </w:r>
    </w:p>
    <w:p>
      <w:pPr>
        <w:numPr>
          <w:ilvl w:val="0"/>
          <w:numId w:val="1005"/>
        </w:numPr>
        <w:pStyle w:val="Compact"/>
      </w:pPr>
      <w:r>
        <w:t>ყოველ საწოლთან და სამკურნალო ოთახში არის სადგური ხელის დაწვდენის მანძილზე.</w:t>
      </w:r>
    </w:p>
    <w:p>
      <w:pPr>
        <w:pStyle w:val="FirstParagraph"/>
      </w:pPr>
      <w:r>
        <w:rPr>
          <w:bCs/>
          <w:b/>
        </w:rPr>
        <w:t>მთავარი დებულება: ხელმისაწვდომობა შესრულებაზე წინ უსწრებს.</w:t>
      </w:r>
      <w:r/>
      <w:r/>
    </w:p>
    <w:p>
      <w:pPr>
        <w:pStyle w:val="BodyText"/>
      </w:pPr>
      <w:r>
        <w:t>ეტაპი 3. პოლიტიკის დებულება 3: შესრულება დაკვირვებით ფიქსირდება, თვითანგარიშით არა.</w:t>
      </w:r>
    </w:p>
    <w:p>
      <w:pPr>
        <w:numPr>
          <w:ilvl w:val="0"/>
          <w:numId w:val="1006"/>
        </w:numPr>
        <w:pStyle w:val="Compact"/>
      </w:pPr>
      <w:r>
        <w:t>აუდიტი ტარდება დაკვირვებით მინიმუმ თვეში ერთხელ, HH-FRM-001-ის გამოყენებით.</w:t>
      </w:r>
    </w:p>
    <w:p>
      <w:pPr>
        <w:pStyle w:val="FirstParagraph"/>
      </w:pPr>
      <w:r>
        <w:rPr>
          <w:bCs/>
          <w:b/>
        </w:rPr>
        <w:t>მთავარი დებულება: თვითანგარიში მტკიცებულებად არ მიიღება.</w:t>
      </w:r>
      <w:r/>
      <w:r/>
    </w:p>
    <w:p>
      <w:pPr>
        <w:pStyle w:val="BodyText"/>
      </w:pPr>
      <w:r>
        <w:t>ეტაპი 4. პოლიტიკის დებულება 4: შედეგები წარდგენილია და მათ მიხედვით მოქმედებენ.</w:t>
      </w:r>
    </w:p>
    <w:p>
      <w:pPr>
        <w:numPr>
          <w:ilvl w:val="0"/>
          <w:numId w:val="1007"/>
        </w:numPr>
        <w:pStyle w:val="Compact"/>
      </w:pPr>
      <w:r>
        <w:t>აუდიტის შედეგები ყოველ კვარტალში გადაეცემა პასუხისმგებელ აღმასრულებელს.</w:t>
      </w:r>
    </w:p>
    <w:p>
      <w:pPr>
        <w:numPr>
          <w:ilvl w:val="0"/>
          <w:numId w:val="1007"/>
        </w:numPr>
        <w:pStyle w:val="Compact"/>
      </w:pPr>
      <w:r>
        <w:t>ხარვეზებს აქვს დასახელებული ქმედება და ვადა.</w:t>
      </w:r>
    </w:p>
    <w:p>
      <w:pPr>
        <w:pStyle w:val="FirstParagraph"/>
      </w:pPr>
      <w:r>
        <w:rPr>
          <w:bCs/>
          <w:b/>
        </w:rPr>
        <w:t>მთავარი დებულება: შედეგი ქმედების გარეშე არის პოლიტიკის მარცხი.</w:t>
      </w:r>
      <w:r/>
      <w:r/>
    </w:p>
    <w:bookmarkEnd w:id="32"/>
    <w:bookmarkStart w:id="33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8"/>
        </w:numPr>
        <w:pStyle w:val="Compact"/>
      </w:pPr>
      <w:r>
        <w:t>გამონაკლისები,არ არის. ნებისმიერი გამონაკლისი პასუხისმგებელმა აღმასრულებელმა წერილობით უნდა დაამტკიცოს.</w:t>
      </w:r>
    </w:p>
    <w:bookmarkEnd w:id="33"/>
    <w:bookmarkStart w:id="34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გადაუდებელი შემთხვევები</w:t>
            </w:r>
          </w:p>
        </w:tc>
        <w:tc>
          <w:tcPr/>
          <w:p>
            <w:pPr>
              <w:pStyle w:val="Compact"/>
              <w:jc w:val="left"/>
            </w:pPr>
            <w:r>
              <w:t>ხუთი მომენტი ისევ მოქმედებს. ხელის ჰიგიენა დროის დაზოგვის გამო არ გადაიდება.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9"/>
        </w:numPr>
        <w:pStyle w:val="Compact"/>
      </w:pPr>
      <w:r>
        <w:t>პროდუქტის დეფიციტი,იმავე დღეს შეატყობინეთ პასუხისმგებელ აღმასრულებელს.</w:t>
      </w:r>
    </w:p>
    <w:bookmarkEnd w:id="35"/>
    <w:bookmarkStart w:id="36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ყოველწლიური გადახედვა</w:t>
            </w:r>
          </w:p>
        </w:tc>
        <w:tc>
          <w:tcPr/>
          <w:p>
            <w:pPr>
              <w:pStyle w:val="Compact"/>
              <w:jc w:val="left"/>
            </w:pPr>
            <w:r>
              <w:t>პოლიტიკა ყოველწლიურად იხილება, ასევე ნებისმიერი სერიოზული ინფექციური შემთხვევის შემდეგ.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დამტკიცებული პოლიტიკა</w:t>
            </w:r>
          </w:p>
        </w:tc>
        <w:tc>
          <w:tcPr/>
          <w:p>
            <w:pPr>
              <w:pStyle w:val="Compact"/>
              <w:jc w:val="left"/>
            </w:pPr>
            <w:r>
              <w:t>პოლიტიკის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 ვერსია და ხუთი წელი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კვარტალური აუდიტის ანგარიში</w:t>
            </w:r>
          </w:p>
        </w:tc>
        <w:tc>
          <w:tcPr/>
          <w:p>
            <w:pPr>
              <w:pStyle w:val="Compact"/>
              <w:jc w:val="left"/>
            </w:pPr>
            <w:r>
              <w:t>მმართველობის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 წელი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10"/>
        </w:numPr>
        <w:pStyle w:val="Compact"/>
      </w:pPr>
      <w:r>
        <w:t>ინდუქცია, დამოუკიდებელი მუშაობის დაწყებამდე</w:t>
      </w:r>
    </w:p>
    <w:p>
      <w:pPr>
        <w:numPr>
          <w:ilvl w:val="0"/>
          <w:numId w:val="1010"/>
        </w:numPr>
        <w:pStyle w:val="Compact"/>
      </w:pPr>
      <w:r>
        <w:t>ყოველწლიური განახლება</w:t>
      </w:r>
    </w:p>
    <w:bookmarkEnd w:id="38"/>
    <w:bookmarkStart w:id="41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HH-SOP-001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ხელის ჰიგიენა მოვლის ადგილზე</w:t>
            </w:r>
          </w:p>
        </w:tc>
        <w:tc>
          <w:tcPr/>
          <w:p>
            <w:pPr>
              <w:pStyle w:val="Compact"/>
              <w:jc w:val="left"/>
            </w:pPr>
            <w:r>
              <w:t>ამ პოლიტიკას მოქმედი პროცედურა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HH-FRM-001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ხელის ჰიგიენის დაკვირვებითი აუდიტის ინსტრუმენტი</w:t>
            </w:r>
          </w:p>
        </w:tc>
        <w:tc>
          <w:tcPr/>
          <w:p>
            <w:pPr>
              <w:pStyle w:val="Compact"/>
              <w:jc w:val="left"/>
            </w:pPr>
            <w:r>
              <w:t>აუდიტის ჩანაწერი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E-001</w:t>
            </w:r>
          </w:p>
        </w:tc>
        <w:tc>
          <w:tcPr/>
          <w:p>
            <w:pPr>
              <w:pStyle w:val="Compact"/>
              <w:jc w:val="left"/>
            </w:pPr>
            <w:r>
              <w:t>World Health Organization (2009). WHO Guidelines on Hand Hygiene in Health Care. Geneva: WHO. დამტკიცებული, საბოლოო.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—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დამტკიცებული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6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1"/>
        </w:numPr>
        <w:pStyle w:val="Compact"/>
      </w:pPr>
      <w:r>
        <w:t>World Health Organization (2009). WHO Guidelines on Hand Hygiene in Health Care. Geneva: WHO.  (E-001)</w:t>
      </w:r>
      <w:r/>
      <w:hyperlink r:id="rId44">
        <w:r>
          <w:rPr>
            <w:rStyle w:val="Hyperlink"/>
          </w:rPr>
          <w:t xml:space="preserve">Open source</w:t>
        </w:r>
      </w:hyperlink>
      <w:r/>
      <w:r/>
    </w:p>
    <w:p>
      <w:pPr>
        <w:pStyle w:val="FirstParagraph"/>
      </w:pPr>
      <w:hyperlink r:id="rId45">
        <w:r>
          <w:rPr>
            <w:rStyle w:val="Hyperlink"/>
          </w:rPr>
          <w:t xml:space="preserve">Download this document as PDF</w:t>
        </w:r>
      </w:hyperlink>
    </w:p>
    <w:bookmarkEnd w:id="46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40" Type="http://schemas.openxmlformats.org/officeDocument/2006/relationships/hyperlink" Target="/documents/hh-frm-001/" TargetMode="External"/><Relationship Id="rId39" Type="http://schemas.openxmlformats.org/officeDocument/2006/relationships/hyperlink" Target="/documents/hh-sop-001/" TargetMode="External"/><Relationship Id="rId22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1/" TargetMode="External"/><Relationship Id="rId23" Type="http://schemas.openxmlformats.org/officeDocument/2006/relationships/hyperlink" Target="/standards/standard-1/#c1-2" TargetMode="External"/><Relationship Id="rId45" Type="http://schemas.openxmlformats.org/officeDocument/2006/relationships/hyperlink" Target="https://france-asf.fr/wp-content/uploads/2026/10/hh-pol-001.pdf" TargetMode="External"/><Relationship Id="rId44" Type="http://schemas.openxmlformats.org/officeDocument/2006/relationships/hyperlink" Target="https://www.who.int/publications/i/item/9789241597906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40" Type="http://schemas.openxmlformats.org/officeDocument/2006/relationships/hyperlink" Target="/documents/hh-frm-001/" TargetMode="External"/><Relationship Id="rId39" Type="http://schemas.openxmlformats.org/officeDocument/2006/relationships/hyperlink" Target="/documents/hh-sop-001/" TargetMode="External"/><Relationship Id="rId22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1/" TargetMode="External"/><Relationship Id="rId23" Type="http://schemas.openxmlformats.org/officeDocument/2006/relationships/hyperlink" Target="/standards/standard-1/#c1-2" TargetMode="External"/><Relationship Id="rId45" Type="http://schemas.openxmlformats.org/officeDocument/2006/relationships/hyperlink" Target="https://france-asf.fr/wp-content/uploads/2026/10/hh-pol-001.pdf" TargetMode="External"/><Relationship Id="rId44" Type="http://schemas.openxmlformats.org/officeDocument/2006/relationships/hyperlink" Target="https://www.who.int/publications/i/item/97892415979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HH-POL-001: Hand Hygiene Policy</dc:title>
  <dc:creator/>
  <cp:keywords/>
  <dcterms:created xsi:type="dcterms:W3CDTF">2026-10-28T21:34:17Z</dcterms:created>
  <dcterms:modified xsi:type="dcterms:W3CDTF">2026-10-28T21:34:17Z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