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tbl>
      <w:tblPr>
        <w:tblStyle w:val="Table"/>
        <w:tblW w:type="pct" w:w="5000"/>
        <w:tblLook w:firstRow="0" w:lastRow="0" w:firstColumn="0" w:lastColumn="0" w:noHBand="0" w:noVBand="0" w:val="0000"/>
        <w:jc w:val="start"/>
      </w:tblPr>
      <w:tblGrid>
        <w:gridCol w:w="1980"/>
        <w:gridCol w:w="1980"/>
        <w:gridCol w:w="1980"/>
        <w:gridCol w:w="1980"/>
      </w:tblGrid>
      <w:tr>
        <w:tc>
          <w:tcPr/>
          <w:p>
            <w:pPr>
              <w:pStyle w:val="Compact"/>
              <w:jc w:val="left"/>
            </w:pPr>
            <w:r>
              <w:t>ორგანიზაციის სახელი</w:t>
            </w:r>
          </w:p>
          <w:p>
            <w:pPr>
              <w:pStyle w:val="Compact"/>
              <w:jc w:val="left"/>
            </w:pPr>
            <w:r>
              <w:t>ობიექტი ან განყოფილება</w:t>
            </w:r>
          </w:p>
        </w:tc>
        <w:tc>
          <w:tcPr>
            <w:gridSpan w:val="2"/>
          </w:tcPr>
          <w:p>
            <w:pPr>
              <w:pStyle w:val="Compact"/>
              <w:jc w:val="left"/>
            </w:pPr>
            <w:r>
              <w:t>სტანდარტული საოპერაციო პროცედურა</w:t>
            </w:r>
          </w:p>
          <w:p>
            <w:pPr>
              <w:pStyle w:val="Compact"/>
              <w:jc w:val="left"/>
            </w:pPr>
            <w:r>
              <w:t>ხელის ჰიგიენა მოვლის ადგილზე</w:t>
            </w:r>
          </w:p>
        </w:tc>
        <w:tc>
          <w:tcPr/>
          <w:p>
            <w:pPr>
              <w:pStyle w:val="Compact"/>
            </w:pPr>
          </w:p>
        </w:tc>
      </w:tr>
      <w:tr>
        <w:tc>
          <w:tcPr/>
          <w:p>
            <w:pPr>
              <w:pStyle w:val="Compact"/>
              <w:jc w:val="left"/>
            </w:pPr>
            <w:r>
              <w:t>დოკუმენტის ID</w:t>
            </w:r>
          </w:p>
        </w:tc>
        <w:tc>
          <w:tcPr/>
          <w:p>
            <w:pPr>
              <w:pStyle w:val="Compact"/>
              <w:jc w:val="left"/>
            </w:pPr>
            <w:r>
              <w:t>HH-SOP-001-EN</w:t>
            </w:r>
          </w:p>
        </w:tc>
        <w:tc>
          <w:tcPr/>
          <w:p>
            <w:pPr>
              <w:pStyle w:val="Compact"/>
              <w:jc w:val="left"/>
            </w:pPr>
            <w:r>
              <w:t>ვერსია</w:t>
            </w:r>
          </w:p>
        </w:tc>
        <w:tc>
          <w:tcPr/>
          <w:p>
            <w:pPr>
              <w:pStyle w:val="Compact"/>
              <w:jc w:val="left"/>
            </w:pPr>
            <w:r>
              <w:t>1.3</w:t>
            </w:r>
          </w:p>
        </w:tc>
      </w:tr>
      <w:tr>
        <w:tc>
          <w:tcPr/>
          <w:p>
            <w:pPr>
              <w:pStyle w:val="Compact"/>
              <w:jc w:val="left"/>
            </w:pPr>
            <w:r>
              <w:t>სტატუსი</w:t>
            </w:r>
          </w:p>
        </w:tc>
        <w:tc>
          <w:tcPr/>
          <w:p>
            <w:pPr>
              <w:pStyle w:val="Compact"/>
              <w:jc w:val="left"/>
            </w:pPr>
            <w:r>
              <w:t>გასაცემად</w:t>
            </w:r>
          </w:p>
        </w:tc>
        <w:tc>
          <w:tcPr/>
          <w:p>
            <w:pPr>
              <w:pStyle w:val="Compact"/>
              <w:jc w:val="left"/>
            </w:pPr>
            <w:r>
              <w:t>გამოშვების თარიღი</w:t>
            </w:r>
          </w:p>
        </w:tc>
        <w:tc>
          <w:tcPr/>
          <w:p>
            <w:pPr>
              <w:pStyle w:val="Compact"/>
              <w:jc w:val="left"/>
            </w:pPr>
            <w:r>
              <w:t xml:space="preserve"> </w:t>
            </w:r>
          </w:p>
        </w:tc>
      </w:tr>
      <w:tr>
        <w:tc>
          <w:tcPr/>
          <w:p>
            <w:pPr>
              <w:pStyle w:val="Compact"/>
              <w:jc w:val="left"/>
            </w:pPr>
            <w:r>
              <w:t>გადახედვის თარიღი</w:t>
            </w:r>
          </w:p>
        </w:tc>
        <w:tc>
          <w:tcPr/>
          <w:p>
            <w:pPr>
              <w:pStyle w:val="Compact"/>
              <w:jc w:val="left"/>
            </w:pPr>
            <w:r>
              <w:t xml:space="preserve"> </w:t>
            </w:r>
          </w:p>
        </w:tc>
        <w:tc>
          <w:tcPr/>
          <w:p>
            <w:pPr>
              <w:pStyle w:val="Compact"/>
              <w:jc w:val="left"/>
            </w:pPr>
            <w:r>
              <w:t>ანაცვლებს</w:t>
            </w:r>
          </w:p>
        </w:tc>
        <w:tc>
          <w:tcPr/>
          <w:p>
            <w:pPr>
              <w:pStyle w:val="Compact"/>
              <w:jc w:val="left"/>
            </w:pPr>
            <w:r>
              <w:t>1.2</w:t>
            </w:r>
          </w:p>
        </w:tc>
      </w:tr>
      <w:tr>
        <w:tc>
          <w:tcPr/>
          <w:p>
            <w:pPr>
              <w:pStyle w:val="Compact"/>
              <w:jc w:val="left"/>
            </w:pPr>
            <w:r>
              <w:t>პასუხისმგებელი</w:t>
            </w:r>
          </w:p>
        </w:tc>
        <w:tc>
          <w:tcPr/>
          <w:p>
            <w:pPr>
              <w:pStyle w:val="Compact"/>
              <w:jc w:val="left"/>
            </w:pPr>
            <w:r>
              <w:t>ინფექციების პრევენციისა და კონტროლის ხელმძღვანელი</w:t>
            </w:r>
          </w:p>
        </w:tc>
        <w:tc>
          <w:tcPr/>
          <w:p>
            <w:pPr>
              <w:pStyle w:val="Compact"/>
              <w:jc w:val="left"/>
            </w:pPr>
            <w:r>
              <w:t>დაამტკიცა</w:t>
            </w:r>
          </w:p>
        </w:tc>
        <w:tc>
          <w:tcPr/>
          <w:p>
            <w:pPr>
              <w:pStyle w:val="Compact"/>
              <w:jc w:val="left"/>
            </w:pPr>
            <w:r>
              <w:t xml:space="preserve"> </w:t>
            </w:r>
          </w:p>
        </w:tc>
      </w:tr>
      <w:tr>
        <w:tc>
          <w:tcPr/>
          <w:p>
            <w:pPr>
              <w:pStyle w:val="Compact"/>
              <w:jc w:val="left"/>
            </w:pPr>
            <w:r>
              <w:t>კლასიფიკაცია</w:t>
            </w:r>
          </w:p>
        </w:tc>
        <w:tc>
          <w:tcPr/>
          <w:p>
            <w:pPr>
              <w:pStyle w:val="Compact"/>
              <w:jc w:val="left"/>
            </w:pPr>
            <w:r>
              <w:t>შიდა</w:t>
            </w:r>
          </w:p>
        </w:tc>
        <w:tc>
          <w:tcPr/>
          <w:p>
            <w:pPr>
              <w:pStyle w:val="Compact"/>
              <w:jc w:val="left"/>
            </w:pPr>
            <w:r>
              <w:t>ვრცელდება</w:t>
            </w:r>
          </w:p>
        </w:tc>
        <w:tc>
          <w:tcPr/>
          <w:p>
            <w:pPr>
              <w:pStyle w:val="Compact"/>
              <w:jc w:val="left"/>
            </w:pPr>
            <w:r>
              <w:t>ყველა კლინიკური სივრცე</w:t>
            </w:r>
          </w:p>
        </w:tc>
      </w:tr>
      <w:tr>
        <w:tc>
          <w:tcPr/>
          <w:p>
            <w:pPr>
              <w:pStyle w:val="Compact"/>
              <w:jc w:val="left"/>
            </w:pPr>
            <w:r>
              <w:t>ხელმოწერა</w:t>
            </w:r>
          </w:p>
        </w:tc>
        <w:tc>
          <w:tcPr>
            <w:gridSpan w:val="3"/>
          </w:tcPr>
          <w:p>
            <w:pPr>
              <w:pStyle w:val="Compact"/>
              <w:jc w:val="left"/>
            </w:pPr>
            <w:r>
              <w:t xml:space="preserve"> </w:t>
            </w:r>
          </w:p>
        </w:tc>
      </w:tr>
    </w:tbl>
    <w:p>
      <w:pPr>
        <w:pStyle w:val="BodyText"/>
      </w:pPr>
      <w:r>
        <w:t>დამტკიცების შემდეგ ეს კონტროლირებადი ეგზემპლარია. ამობეჭდილი ეგზემპლარები არაკონტროლირებადია; გამოყენებამდე ვერსია შეადარეთ დოკუმენტების რეესტრს.</w:t>
      </w:r>
    </w:p>
    <w:bookmarkStart w:id="20" w:name="toc"/>
    <w:p>
      <w:pPr>
        <w:pStyle w:val="Heading2"/>
      </w:pPr>
      <w:r>
        <w:t>შინაარსი</w:t>
      </w:r>
    </w:p>
    <w:tbl>
      <w:tblPr>
        <w:tblStyle w:val="Table"/>
        <w:tblW w:type="auto" w:w="0"/>
        <w:tblLook w:firstRow="0" w:lastRow="0" w:firstColumn="0" w:lastColumn="0" w:noHBand="0" w:noVBand="0" w:val="0000"/>
        <w:jc w:val="start"/>
      </w:tblPr>
      <w:tblGrid>
        <w:gridCol w:w="3960"/>
        <w:gridCol w:w="3960"/>
      </w:tblGrid>
      <w:tr>
        <w:tc>
          <w:tcPr/>
          <w:p>
            <w:pPr>
              <w:pStyle w:val="Compact"/>
              <w:jc w:val="left"/>
            </w:pPr>
            <w:r>
              <w:t>1. მიზანი</w:t>
            </w:r>
          </w:p>
        </w:tc>
        <w:tc>
          <w:tcPr/>
          <w:p>
            <w:pPr>
              <w:pStyle w:val="Compact"/>
              <w:jc w:val="left"/>
            </w:pPr>
            <w:r>
              <w:t>2</w:t>
            </w:r>
          </w:p>
        </w:tc>
      </w:tr>
      <w:tr>
        <w:tc>
          <w:tcPr/>
          <w:p>
            <w:pPr>
              <w:pStyle w:val="Compact"/>
              <w:jc w:val="left"/>
            </w:pPr>
            <w:r>
              <w:t>2. სფერო</w:t>
            </w:r>
          </w:p>
        </w:tc>
        <w:tc>
          <w:tcPr/>
          <w:p>
            <w:pPr>
              <w:pStyle w:val="Compact"/>
              <w:jc w:val="left"/>
            </w:pPr>
            <w:r>
              <w:t>2</w:t>
            </w:r>
          </w:p>
        </w:tc>
      </w:tr>
      <w:tr>
        <w:tc>
          <w:tcPr/>
          <w:p>
            <w:pPr>
              <w:pStyle w:val="Compact"/>
              <w:jc w:val="left"/>
            </w:pPr>
            <w:r>
              <w:t>3. განმარტებები</w:t>
            </w:r>
          </w:p>
        </w:tc>
        <w:tc>
          <w:tcPr/>
          <w:p>
            <w:pPr>
              <w:pStyle w:val="Compact"/>
              <w:jc w:val="left"/>
            </w:pPr>
            <w:r>
              <w:t>3</w:t>
            </w:r>
          </w:p>
        </w:tc>
      </w:tr>
      <w:tr>
        <w:tc>
          <w:tcPr/>
          <w:p>
            <w:pPr>
              <w:pStyle w:val="Compact"/>
              <w:jc w:val="left"/>
            </w:pPr>
            <w:r>
              <w:t>4. პოლიტიკის დებულება</w:t>
            </w:r>
          </w:p>
        </w:tc>
        <w:tc>
          <w:tcPr/>
          <w:p>
            <w:pPr>
              <w:pStyle w:val="Compact"/>
              <w:jc w:val="left"/>
            </w:pPr>
            <w:r>
              <w:t>3</w:t>
            </w:r>
          </w:p>
        </w:tc>
      </w:tr>
      <w:tr>
        <w:tc>
          <w:tcPr/>
          <w:p>
            <w:pPr>
              <w:pStyle w:val="Compact"/>
              <w:jc w:val="left"/>
            </w:pPr>
            <w:r>
              <w:t>5. ფონი და მტკიცებულებები</w:t>
            </w:r>
          </w:p>
        </w:tc>
        <w:tc>
          <w:tcPr/>
          <w:p>
            <w:pPr>
              <w:pStyle w:val="Compact"/>
              <w:jc w:val="left"/>
            </w:pPr>
            <w:r>
              <w:t>3</w:t>
            </w:r>
          </w:p>
        </w:tc>
      </w:tr>
      <w:tr>
        <w:tc>
          <w:tcPr/>
          <w:p>
            <w:pPr>
              <w:pStyle w:val="Compact"/>
              <w:jc w:val="left"/>
            </w:pPr>
            <w:r>
              <w:t>6. როლები და პასუხისმგებლობები</w:t>
            </w:r>
          </w:p>
        </w:tc>
        <w:tc>
          <w:tcPr/>
          <w:p>
            <w:pPr>
              <w:pStyle w:val="Compact"/>
              <w:jc w:val="left"/>
            </w:pPr>
            <w:r>
              <w:t>3</w:t>
            </w:r>
          </w:p>
        </w:tc>
      </w:tr>
      <w:tr>
        <w:tc>
          <w:tcPr/>
          <w:p>
            <w:pPr>
              <w:pStyle w:val="Compact"/>
              <w:jc w:val="left"/>
            </w:pPr>
            <w:r>
              <w:t>7. მასალები და აღჭურვილობა</w:t>
            </w:r>
          </w:p>
        </w:tc>
        <w:tc>
          <w:tcPr/>
          <w:p>
            <w:pPr>
              <w:pStyle w:val="Compact"/>
              <w:jc w:val="left"/>
            </w:pPr>
            <w:r>
              <w:t>4</w:t>
            </w:r>
          </w:p>
        </w:tc>
      </w:tr>
      <w:tr>
        <w:tc>
          <w:tcPr/>
          <w:p>
            <w:pPr>
              <w:pStyle w:val="Compact"/>
              <w:jc w:val="left"/>
            </w:pPr>
            <w:r>
              <w:t>8. უსაფრთხოება და პროდუქტის კონტროლი</w:t>
            </w:r>
          </w:p>
        </w:tc>
        <w:tc>
          <w:tcPr/>
          <w:p>
            <w:pPr>
              <w:pStyle w:val="Compact"/>
              <w:jc w:val="left"/>
            </w:pPr>
            <w:r>
              <w:t>4</w:t>
            </w:r>
          </w:p>
        </w:tc>
      </w:tr>
      <w:tr>
        <w:tc>
          <w:tcPr/>
          <w:p>
            <w:pPr>
              <w:pStyle w:val="Compact"/>
              <w:jc w:val="left"/>
            </w:pPr>
            <w:r>
              <w:t>9. პროცედურა</w:t>
            </w:r>
          </w:p>
        </w:tc>
        <w:tc>
          <w:tcPr/>
          <w:p>
            <w:pPr>
              <w:pStyle w:val="Compact"/>
              <w:jc w:val="left"/>
            </w:pPr>
            <w:r>
              <w:t>4</w:t>
            </w:r>
          </w:p>
        </w:tc>
      </w:tr>
      <w:tr>
        <w:tc>
          <w:tcPr/>
          <w:p>
            <w:pPr>
              <w:pStyle w:val="Compact"/>
              <w:jc w:val="left"/>
            </w:pPr>
            <w:r>
              <w:t>10. გადაწყვეტილების წერტილები</w:t>
            </w:r>
          </w:p>
        </w:tc>
        <w:tc>
          <w:tcPr/>
          <w:p>
            <w:pPr>
              <w:pStyle w:val="Compact"/>
              <w:jc w:val="left"/>
            </w:pPr>
            <w:r>
              <w:t>6</w:t>
            </w:r>
          </w:p>
        </w:tc>
      </w:tr>
      <w:tr>
        <w:tc>
          <w:tcPr/>
          <w:p>
            <w:pPr>
              <w:pStyle w:val="Compact"/>
              <w:jc w:val="left"/>
            </w:pPr>
            <w:r>
              <w:t>11. განსაკუთრებული სიტუაციები</w:t>
            </w:r>
          </w:p>
        </w:tc>
        <w:tc>
          <w:tcPr/>
          <w:p>
            <w:pPr>
              <w:pStyle w:val="Compact"/>
              <w:jc w:val="left"/>
            </w:pPr>
            <w:r>
              <w:t>6</w:t>
            </w:r>
          </w:p>
        </w:tc>
      </w:tr>
      <w:tr>
        <w:tc>
          <w:tcPr/>
          <w:p>
            <w:pPr>
              <w:pStyle w:val="Compact"/>
              <w:jc w:val="left"/>
            </w:pPr>
            <w:r>
              <w:t>12. ესკალაცია</w:t>
            </w:r>
          </w:p>
        </w:tc>
        <w:tc>
          <w:tcPr/>
          <w:p>
            <w:pPr>
              <w:pStyle w:val="Compact"/>
              <w:jc w:val="left"/>
            </w:pPr>
            <w:r>
              <w:t>7</w:t>
            </w:r>
          </w:p>
        </w:tc>
      </w:tr>
      <w:tr>
        <w:tc>
          <w:tcPr/>
          <w:p>
            <w:pPr>
              <w:pStyle w:val="Compact"/>
              <w:jc w:val="left"/>
            </w:pPr>
            <w:r>
              <w:t>13. მონიტორინგი და შესრულება</w:t>
            </w:r>
          </w:p>
        </w:tc>
        <w:tc>
          <w:tcPr/>
          <w:p>
            <w:pPr>
              <w:pStyle w:val="Compact"/>
              <w:jc w:val="left"/>
            </w:pPr>
            <w:r>
              <w:t>7</w:t>
            </w:r>
          </w:p>
        </w:tc>
      </w:tr>
      <w:tr>
        <w:tc>
          <w:tcPr/>
          <w:p>
            <w:pPr>
              <w:pStyle w:val="Compact"/>
              <w:jc w:val="left"/>
            </w:pPr>
            <w:r>
              <w:t>14. ჩანაწერები</w:t>
            </w:r>
          </w:p>
        </w:tc>
        <w:tc>
          <w:tcPr/>
          <w:p>
            <w:pPr>
              <w:pStyle w:val="Compact"/>
              <w:jc w:val="left"/>
            </w:pPr>
            <w:r>
              <w:t>7</w:t>
            </w:r>
          </w:p>
        </w:tc>
      </w:tr>
      <w:tr>
        <w:tc>
          <w:tcPr/>
          <w:p>
            <w:pPr>
              <w:pStyle w:val="Compact"/>
              <w:jc w:val="left"/>
            </w:pPr>
            <w:r>
              <w:t>15. სწავლება და კომპეტენცია</w:t>
            </w:r>
          </w:p>
        </w:tc>
        <w:tc>
          <w:tcPr/>
          <w:p>
            <w:pPr>
              <w:pStyle w:val="Compact"/>
              <w:jc w:val="left"/>
            </w:pPr>
            <w:r>
              <w:t>8</w:t>
            </w:r>
          </w:p>
        </w:tc>
      </w:tr>
      <w:tr>
        <w:tc>
          <w:tcPr/>
          <w:p>
            <w:pPr>
              <w:pStyle w:val="Compact"/>
              <w:jc w:val="left"/>
            </w:pPr>
            <w:r>
              <w:t>16. დაკავშირებული დოკუმენტები</w:t>
            </w:r>
          </w:p>
        </w:tc>
        <w:tc>
          <w:tcPr/>
          <w:p>
            <w:pPr>
              <w:pStyle w:val="Compact"/>
              <w:jc w:val="left"/>
            </w:pPr>
            <w:r>
              <w:t>8</w:t>
            </w:r>
          </w:p>
        </w:tc>
      </w:tr>
      <w:tr>
        <w:tc>
          <w:tcPr/>
          <w:p>
            <w:pPr>
              <w:pStyle w:val="Compact"/>
              <w:jc w:val="left"/>
            </w:pPr>
            <w:r>
              <w:t>17. ცნობარები</w:t>
            </w:r>
          </w:p>
        </w:tc>
        <w:tc>
          <w:tcPr/>
          <w:p>
            <w:pPr>
              <w:pStyle w:val="Compact"/>
              <w:jc w:val="left"/>
            </w:pPr>
            <w:r>
              <w:t>8</w:t>
            </w:r>
          </w:p>
        </w:tc>
      </w:tr>
      <w:tr>
        <w:tc>
          <w:tcPr/>
          <w:p>
            <w:pPr>
              <w:pStyle w:val="Compact"/>
              <w:jc w:val="left"/>
            </w:pPr>
            <w:r>
              <w:t>18. ცვლილებების ისტორია</w:t>
            </w:r>
          </w:p>
        </w:tc>
        <w:tc>
          <w:tcPr/>
          <w:p>
            <w:pPr>
              <w:pStyle w:val="Compact"/>
              <w:jc w:val="left"/>
            </w:pPr>
            <w:r>
              <w:t>8</w:t>
            </w:r>
          </w:p>
        </w:tc>
      </w:tr>
      <w:tr>
        <w:tc>
          <w:tcPr/>
          <w:p>
            <w:pPr>
              <w:pStyle w:val="Compact"/>
              <w:jc w:val="left"/>
            </w:pPr>
            <w:r>
              <w:t>19. დამტკიცება</w:t>
            </w:r>
          </w:p>
        </w:tc>
        <w:tc>
          <w:tcPr/>
          <w:p>
            <w:pPr>
              <w:pStyle w:val="Compact"/>
              <w:jc w:val="left"/>
            </w:pPr>
            <w:r>
              <w:t>8</w:t>
            </w:r>
          </w:p>
        </w:tc>
      </w:tr>
      <w:tr>
        <w:tc>
          <w:tcPr/>
          <w:p>
            <w:pPr>
              <w:pStyle w:val="Compact"/>
              <w:jc w:val="left"/>
            </w:pPr>
            <w:r>
              <w:t>შემოკლებები</w:t>
            </w:r>
          </w:p>
        </w:tc>
        <w:tc>
          <w:tcPr/>
          <w:p>
            <w:pPr>
              <w:pStyle w:val="Compact"/>
              <w:jc w:val="left"/>
            </w:pPr>
            <w:r>
              <w:t>2</w:t>
            </w:r>
          </w:p>
        </w:tc>
      </w:tr>
      <w:tr>
        <w:tc>
          <w:tcPr/>
          <w:p>
            <w:pPr>
              <w:pStyle w:val="Compact"/>
              <w:jc w:val="left"/>
            </w:pPr>
            <w:r>
              <w:t>დანართი A. აუდიტის ჩანაწერი</w:t>
            </w:r>
          </w:p>
        </w:tc>
        <w:tc>
          <w:tcPr/>
          <w:p>
            <w:pPr>
              <w:pStyle w:val="Compact"/>
              <w:jc w:val="left"/>
            </w:pPr>
            <w:r>
              <w:t>8</w:t>
            </w:r>
          </w:p>
        </w:tc>
      </w:tr>
      <w:tr>
        <w:tc>
          <w:tcPr/>
          <w:p>
            <w:pPr>
              <w:pStyle w:val="Compact"/>
              <w:jc w:val="left"/>
            </w:pPr>
            <w:r>
              <w:t>დანართი B. ხუთი მომენტი</w:t>
            </w:r>
          </w:p>
        </w:tc>
        <w:tc>
          <w:tcPr/>
          <w:p>
            <w:pPr>
              <w:pStyle w:val="Compact"/>
              <w:jc w:val="left"/>
            </w:pPr>
            <w:r>
              <w:t>9</w:t>
            </w:r>
          </w:p>
        </w:tc>
      </w:tr>
    </w:tbl>
    <w:bookmarkEnd w:id="20"/>
    <w:bookmarkStart w:id="21" w:name="abbr"/>
    <w:p>
      <w:pPr>
        <w:pStyle w:val="Heading2"/>
      </w:pPr>
      <w:r>
        <w:t>შემოკლებები</w:t>
      </w:r>
    </w:p>
    <w:tbl>
      <w:tblPr>
        <w:tblStyle w:val="Table"/>
        <w:tblW w:type="auto" w:w="0"/>
        <w:tblLook w:firstRow="1" w:lastRow="0" w:firstColumn="0" w:lastColumn="0" w:noHBand="0" w:noVBand="0" w:val="0020"/>
        <w:jc w:val="start"/>
      </w:tblPr>
      <w:tblGrid>
        <w:gridCol w:w="3960"/>
        <w:gridCol w:w="3960"/>
      </w:tblGrid>
      <w:tr>
        <w:trPr>
          <w:tblHeader w:val="true"/>
        </w:trPr>
        <w:tc>
          <w:tcPr/>
          <w:p>
            <w:pPr>
              <w:pStyle w:val="Compact"/>
              <w:jc w:val="left"/>
            </w:pPr>
            <w:r>
              <w:t>შემოკლება</w:t>
            </w:r>
          </w:p>
        </w:tc>
        <w:tc>
          <w:tcPr/>
          <w:p>
            <w:pPr>
              <w:pStyle w:val="Compact"/>
              <w:jc w:val="left"/>
            </w:pPr>
            <w:r>
              <w:t>მნიშვნელობა</w:t>
            </w:r>
          </w:p>
        </w:tc>
      </w:tr>
      <w:tr>
        <w:tc>
          <w:tcPr/>
          <w:p>
            <w:pPr>
              <w:pStyle w:val="Compact"/>
              <w:jc w:val="left"/>
            </w:pPr>
            <w:r>
              <w:t>CDC</w:t>
            </w:r>
          </w:p>
        </w:tc>
        <w:tc>
          <w:tcPr/>
          <w:p>
            <w:pPr>
              <w:pStyle w:val="Compact"/>
              <w:jc w:val="left"/>
            </w:pPr>
            <w:r>
              <w:t>Centers for Disease Control and Prevention (United States)</w:t>
            </w:r>
          </w:p>
        </w:tc>
      </w:tr>
      <w:tr>
        <w:tc>
          <w:tcPr/>
          <w:p>
            <w:pPr>
              <w:pStyle w:val="Compact"/>
              <w:jc w:val="left"/>
            </w:pPr>
            <w:r>
              <w:t>C. difficile</w:t>
            </w:r>
          </w:p>
        </w:tc>
        <w:tc>
          <w:tcPr/>
          <w:p>
            <w:pPr>
              <w:pStyle w:val="Compact"/>
              <w:jc w:val="left"/>
            </w:pPr>
            <w:r>
              <w:rPr>
                <w:iCs/>
                <w:i/>
              </w:rPr>
              <w:t>Clostridioides difficile</w:t>
            </w:r>
          </w:p>
        </w:tc>
      </w:tr>
      <w:tr>
        <w:tc>
          <w:tcPr/>
          <w:p>
            <w:pPr>
              <w:pStyle w:val="Compact"/>
              <w:jc w:val="left"/>
            </w:pPr>
            <w:r>
              <w:t>HICPAC</w:t>
            </w:r>
          </w:p>
        </w:tc>
        <w:tc>
          <w:tcPr/>
          <w:p>
            <w:pPr>
              <w:pStyle w:val="Compact"/>
              <w:jc w:val="left"/>
            </w:pPr>
            <w:r>
              <w:t>Healthcare Infection Control Practices Advisory Committee</w:t>
            </w:r>
          </w:p>
        </w:tc>
      </w:tr>
      <w:tr>
        <w:tc>
          <w:tcPr/>
          <w:p>
            <w:pPr>
              <w:pStyle w:val="Compact"/>
              <w:jc w:val="left"/>
            </w:pPr>
            <w:r>
              <w:t>HH</w:t>
            </w:r>
          </w:p>
        </w:tc>
        <w:tc>
          <w:tcPr/>
          <w:p>
            <w:pPr>
              <w:pStyle w:val="Compact"/>
              <w:jc w:val="left"/>
            </w:pPr>
            <w:r>
              <w:t>ხელის ჰიგიენა</w:t>
            </w:r>
          </w:p>
        </w:tc>
      </w:tr>
      <w:tr>
        <w:tc>
          <w:tcPr/>
          <w:p>
            <w:pPr>
              <w:pStyle w:val="Compact"/>
              <w:jc w:val="left"/>
            </w:pPr>
            <w:r>
              <w:t>IPC</w:t>
            </w:r>
          </w:p>
        </w:tc>
        <w:tc>
          <w:tcPr/>
          <w:p>
            <w:pPr>
              <w:pStyle w:val="Compact"/>
              <w:jc w:val="left"/>
            </w:pPr>
            <w:r>
              <w:t>ინფექციების პრევენცია და კონტროლი</w:t>
            </w:r>
          </w:p>
        </w:tc>
      </w:tr>
      <w:tr>
        <w:tc>
          <w:tcPr/>
          <w:p>
            <w:pPr>
              <w:pStyle w:val="Compact"/>
              <w:jc w:val="left"/>
            </w:pPr>
            <w:r>
              <w:t>MMWR</w:t>
            </w:r>
          </w:p>
        </w:tc>
        <w:tc>
          <w:tcPr/>
          <w:p>
            <w:pPr>
              <w:pStyle w:val="Compact"/>
              <w:jc w:val="left"/>
            </w:pPr>
            <w:r>
              <w:t>Morbidity and Mortality Weekly Report</w:t>
            </w:r>
          </w:p>
        </w:tc>
      </w:tr>
      <w:tr>
        <w:tc>
          <w:tcPr/>
          <w:p>
            <w:pPr>
              <w:pStyle w:val="Compact"/>
              <w:jc w:val="left"/>
            </w:pPr>
            <w:r>
              <w:t>მლ</w:t>
            </w:r>
          </w:p>
        </w:tc>
        <w:tc>
          <w:tcPr/>
          <w:p>
            <w:pPr>
              <w:pStyle w:val="Compact"/>
              <w:jc w:val="left"/>
            </w:pPr>
            <w:r>
              <w:t>მილილიტრი</w:t>
            </w:r>
          </w:p>
        </w:tc>
      </w:tr>
      <w:tr>
        <w:tc>
          <w:tcPr/>
          <w:p>
            <w:pPr>
              <w:pStyle w:val="Compact"/>
              <w:jc w:val="left"/>
            </w:pPr>
            <w:r>
              <w:t>PPE</w:t>
            </w:r>
          </w:p>
        </w:tc>
        <w:tc>
          <w:tcPr/>
          <w:p>
            <w:pPr>
              <w:pStyle w:val="Compact"/>
              <w:jc w:val="left"/>
            </w:pPr>
            <w:r>
              <w:t>პერსონალური დამცავი საშუალებები</w:t>
            </w:r>
          </w:p>
        </w:tc>
      </w:tr>
      <w:tr>
        <w:tc>
          <w:tcPr/>
          <w:p>
            <w:pPr>
              <w:pStyle w:val="Compact"/>
              <w:jc w:val="left"/>
            </w:pPr>
            <w:r>
              <w:t>RACI</w:t>
            </w:r>
          </w:p>
        </w:tc>
        <w:tc>
          <w:tcPr/>
          <w:p>
            <w:pPr>
              <w:pStyle w:val="Compact"/>
              <w:jc w:val="left"/>
            </w:pPr>
            <w:r>
              <w:t>პასუხისმგებელი, ანგარიშვალდებული, კონსულტირებული, ინფორმირებული</w:t>
            </w:r>
          </w:p>
        </w:tc>
      </w:tr>
      <w:tr>
        <w:tc>
          <w:tcPr/>
          <w:p>
            <w:pPr>
              <w:pStyle w:val="Compact"/>
              <w:jc w:val="left"/>
            </w:pPr>
            <w:r>
              <w:t>SOP</w:t>
            </w:r>
          </w:p>
        </w:tc>
        <w:tc>
          <w:tcPr/>
          <w:p>
            <w:pPr>
              <w:pStyle w:val="Compact"/>
              <w:jc w:val="left"/>
            </w:pPr>
            <w:r>
              <w:t>სტანდარტული საოპერაციო პროცედურა</w:t>
            </w:r>
          </w:p>
        </w:tc>
      </w:tr>
      <w:tr>
        <w:tc>
          <w:tcPr/>
          <w:p>
            <w:pPr>
              <w:pStyle w:val="Compact"/>
              <w:jc w:val="left"/>
            </w:pPr>
            <w:r>
              <w:t>WHO</w:t>
            </w:r>
          </w:p>
        </w:tc>
        <w:tc>
          <w:tcPr/>
          <w:p>
            <w:pPr>
              <w:pStyle w:val="Compact"/>
              <w:jc w:val="left"/>
            </w:pPr>
            <w:r>
              <w:t>World Health Organization</w:t>
            </w:r>
          </w:p>
        </w:tc>
      </w:tr>
    </w:tbl>
    <w:p>
      <w:pPr>
        <w:pStyle w:val="BodyText"/>
      </w:pPr>
      <w:r>
        <w:rPr>
          <w:bCs/>
          <w:b/>
        </w:rPr>
        <w:t>მთავარი დებულებები</w:t>
      </w:r>
    </w:p>
    <w:p>
      <w:pPr>
        <w:numPr>
          <w:ilvl w:val="0"/>
          <w:numId w:val="1001"/>
        </w:numPr>
        <w:pStyle w:val="Compact"/>
      </w:pPr>
      <w:r>
        <w:t>ხელები გაწმინდეთ მოვლის ხუთ მომენტში და არა მხოლოდ მაშინ, როცა ისინი ჭუჭყიანად გამოიყურება [1].</w:t>
      </w:r>
    </w:p>
    <w:p>
      <w:pPr>
        <w:numPr>
          <w:ilvl w:val="0"/>
          <w:numId w:val="1001"/>
        </w:numPr>
        <w:pStyle w:val="Compact"/>
      </w:pPr>
      <w:r>
        <w:t>გამოიყენეთ სპირტიანი ანტისეპტიკი, როდესაც ხელები ხილულად არ არის დაბინძურებული; გამოიყენეთ საპონი და წყალი, როდესაც არის [1].</w:t>
      </w:r>
    </w:p>
    <w:p>
      <w:pPr>
        <w:numPr>
          <w:ilvl w:val="0"/>
          <w:numId w:val="1001"/>
        </w:numPr>
        <w:pStyle w:val="Compact"/>
      </w:pPr>
      <w:r>
        <w:t>ხელთათმანი არასოდეს ანაცვლებს ხელის ჰიგიენას [1].</w:t>
      </w:r>
    </w:p>
    <w:p>
      <w:pPr>
        <w:numPr>
          <w:ilvl w:val="0"/>
          <w:numId w:val="1001"/>
        </w:numPr>
        <w:pStyle w:val="Compact"/>
      </w:pPr>
      <w:r>
        <w:t>სადგურები ყოველთვის უნდა იყოს შევსებული და ხელის დაწვდენის მანძილზე. ცარიელი სადგური დაუყოვნებლივ ცნობდება.</w:t>
      </w:r>
    </w:p>
    <w:p>
      <w:pPr>
        <w:numPr>
          <w:ilvl w:val="0"/>
          <w:numId w:val="1001"/>
        </w:numPr>
        <w:pStyle w:val="Compact"/>
      </w:pPr>
      <w:r>
        <w:t>შესრულება ყოველთვიურად მოწმდება პირდაპირი დაკვირვებით და განყოფილება მის მიხედვით მოქმედებს [1][2].</w:t>
      </w:r>
    </w:p>
    <w:bookmarkEnd w:id="21"/>
    <w:bookmarkStart w:id="22" w:name="s1"/>
    <w:p>
      <w:pPr>
        <w:pStyle w:val="Heading2"/>
      </w:pPr>
      <w:r>
        <w:t>დანიშნულება</w:t>
      </w:r>
    </w:p>
    <w:p>
      <w:pPr>
        <w:pStyle w:val="FirstParagraph"/>
      </w:pPr>
      <w:r>
        <w:t>მიკროორგანიზმების გადაცემის თავიდან ასაცილებლად თანამშრომლებს, პაციენტებსა და მოვლის გარემოს შორის, ხელების გაწმენდით იმ მოვლის მომენტებში, სადაც დაბინძურების რისკი ყველაზე დიდია. ხელის ჰიგიენა ჯანდაცვასთან დაკავშირებული ინფექციის შემცირების ერთ-ერთი ყველაზე მნიშვნელოვანი ღონისძიებაა [1][2]. ეს პროცედურა განსაზღვრავს, რა უნდა გაკეთდეს, ვინ უნდა გააკეთოს, როგორ მოწმდება და რა ხდება, თუ ის არ შესრულდა.</w:t>
      </w:r>
    </w:p>
    <w:bookmarkEnd w:id="22"/>
    <w:bookmarkStart w:id="23" w:name="s2"/>
    <w:p>
      <w:pPr>
        <w:pStyle w:val="Heading2"/>
      </w:pPr>
      <w:r>
        <w:t>მოქმედების სფერო</w:t>
      </w:r>
    </w:p>
    <w:tbl>
      <w:tblPr>
        <w:tblStyle w:val="Table"/>
        <w:tblW w:type="auto" w:w="0"/>
        <w:tblLook w:firstRow="1" w:lastRow="0" w:firstColumn="0" w:lastColumn="0" w:noHBand="0" w:noVBand="0" w:val="0020"/>
        <w:jc w:val="start"/>
      </w:tblPr>
      <w:tblGrid>
        <w:gridCol w:w="3960"/>
        <w:gridCol w:w="3960"/>
      </w:tblGrid>
      <w:tr>
        <w:trPr>
          <w:tblHeader w:val="true"/>
        </w:trPr>
        <w:tc>
          <w:tcPr/>
          <w:p>
            <w:pPr>
              <w:pStyle w:val="Compact"/>
              <w:jc w:val="left"/>
            </w:pPr>
            <w:r>
              <w:t>ელემენტი</w:t>
            </w:r>
          </w:p>
        </w:tc>
        <w:tc>
          <w:tcPr/>
          <w:p>
            <w:pPr>
              <w:pStyle w:val="Compact"/>
              <w:jc w:val="left"/>
            </w:pPr>
            <w:r>
              <w:t>მოცვა</w:t>
            </w:r>
          </w:p>
        </w:tc>
      </w:tr>
      <w:tr>
        <w:tc>
          <w:tcPr/>
          <w:p>
            <w:pPr>
              <w:pStyle w:val="Compact"/>
              <w:jc w:val="left"/>
            </w:pPr>
            <w:r>
              <w:t>ვინ</w:t>
            </w:r>
          </w:p>
        </w:tc>
        <w:tc>
          <w:tcPr/>
          <w:p>
            <w:pPr>
              <w:pStyle w:val="Compact"/>
              <w:jc w:val="left"/>
            </w:pPr>
            <w:r>
              <w:t>ყველა თანამშრომელი, სტუდენტი, მოხალისე და კონტრაქტორი, ვინც პაციენტთან, პაციენტის აღჭურვილობასთან ან პაციენტის გარემოსთან კონტაქტშია.</w:t>
            </w:r>
          </w:p>
        </w:tc>
      </w:tr>
      <w:tr>
        <w:tc>
          <w:tcPr/>
          <w:p>
            <w:pPr>
              <w:pStyle w:val="Compact"/>
              <w:jc w:val="left"/>
            </w:pPr>
            <w:r>
              <w:t>სად</w:t>
            </w:r>
          </w:p>
        </w:tc>
        <w:tc>
          <w:tcPr/>
          <w:p>
            <w:pPr>
              <w:pStyle w:val="Compact"/>
              <w:jc w:val="left"/>
            </w:pPr>
            <w:r>
              <w:t>ყველა პალატა, კლინიკა, დღის სტაციონარი, ოპერაციული, გადაუდებელი დახმარების სივრცე, სურათების განყოფილება და ლაბორატორიული ნიმუშების აღების პუნქტი.</w:t>
            </w:r>
          </w:p>
        </w:tc>
      </w:tr>
      <w:tr>
        <w:tc>
          <w:tcPr/>
          <w:p>
            <w:pPr>
              <w:pStyle w:val="Compact"/>
              <w:jc w:val="left"/>
            </w:pPr>
            <w:r>
              <w:t>როდის</w:t>
            </w:r>
          </w:p>
        </w:tc>
        <w:tc>
          <w:tcPr/>
          <w:p>
            <w:pPr>
              <w:pStyle w:val="Compact"/>
              <w:jc w:val="left"/>
            </w:pPr>
            <w:r>
              <w:t>მუხლ 9.1-ის ხუთი მომენტის თითოეულში და ყოველთვის, როდესაც დაბინძურების რისკი წარმოიქმნება.</w:t>
            </w:r>
          </w:p>
        </w:tc>
      </w:tr>
      <w:tr>
        <w:tc>
          <w:tcPr/>
          <w:p>
            <w:pPr>
              <w:pStyle w:val="Compact"/>
              <w:jc w:val="left"/>
            </w:pPr>
            <w:r>
              <w:t>არ ფარავს</w:t>
            </w:r>
          </w:p>
        </w:tc>
        <w:tc>
          <w:tcPr/>
          <w:p>
            <w:pPr>
              <w:pStyle w:val="Compact"/>
              <w:jc w:val="left"/>
            </w:pPr>
            <w:r>
              <w:t>სივრცეები, სადაც პაციენტთან კონტაქტი არ არის, თუ იქ შესრულებული დავალება პაციენტის მოვლას არ მოიცავს. ქირურგიული ხელის ანტისეფსისი ოპერაციული ოთახის პროცედურით რეგულირდება.</w:t>
            </w:r>
          </w:p>
        </w:tc>
      </w:tr>
    </w:tbl>
    <w:bookmarkEnd w:id="23"/>
    <w:bookmarkStart w:id="24" w:name="s3"/>
    <w:p>
      <w:pPr>
        <w:pStyle w:val="Heading2"/>
      </w:pPr>
      <w:r>
        <w:t>განმარტებები</w:t>
      </w:r>
    </w:p>
    <w:tbl>
      <w:tblPr>
        <w:tblStyle w:val="Table"/>
        <w:tblW w:type="auto" w:w="0"/>
        <w:tblLook w:firstRow="1" w:lastRow="0" w:firstColumn="0" w:lastColumn="0" w:noHBand="0" w:noVBand="0" w:val="0020"/>
        <w:jc w:val="start"/>
      </w:tblPr>
      <w:tblGrid>
        <w:gridCol w:w="3960"/>
        <w:gridCol w:w="3960"/>
      </w:tblGrid>
      <w:tr>
        <w:trPr>
          <w:tblHeader w:val="true"/>
        </w:trPr>
        <w:tc>
          <w:tcPr/>
          <w:p>
            <w:pPr>
              <w:pStyle w:val="Compact"/>
              <w:jc w:val="left"/>
            </w:pPr>
            <w:r>
              <w:t>ტერმინი</w:t>
            </w:r>
          </w:p>
        </w:tc>
        <w:tc>
          <w:tcPr/>
          <w:p>
            <w:pPr>
              <w:pStyle w:val="Compact"/>
              <w:jc w:val="left"/>
            </w:pPr>
            <w:r>
              <w:t>მნიშვნელობა</w:t>
            </w:r>
          </w:p>
        </w:tc>
      </w:tr>
      <w:tr>
        <w:tc>
          <w:tcPr/>
          <w:p>
            <w:pPr>
              <w:pStyle w:val="Compact"/>
              <w:jc w:val="left"/>
            </w:pPr>
            <w:r>
              <w:t>ხელის ჰიგიენა</w:t>
            </w:r>
          </w:p>
        </w:tc>
        <w:tc>
          <w:tcPr/>
          <w:p>
            <w:pPr>
              <w:pStyle w:val="Compact"/>
              <w:jc w:val="left"/>
            </w:pPr>
            <w:r>
              <w:t>ხელების გაწმენდის ზოგადი ტერმინი, სპირტიანი ანტისეპტიკით ან საპნითა და წყლით [1].</w:t>
            </w:r>
          </w:p>
        </w:tc>
      </w:tr>
      <w:tr>
        <w:tc>
          <w:tcPr/>
          <w:p>
            <w:pPr>
              <w:pStyle w:val="Compact"/>
              <w:jc w:val="left"/>
            </w:pPr>
            <w:r>
              <w:t>სპირტიანი ანტისეპტიკი</w:t>
            </w:r>
          </w:p>
        </w:tc>
        <w:tc>
          <w:tcPr/>
          <w:p>
            <w:pPr>
              <w:pStyle w:val="Compact"/>
              <w:jc w:val="left"/>
            </w:pPr>
            <w:r>
              <w:t>პროდუქტი, რომელიც გამოიყენება მშრალ ხელებზე და იფშვნება გამშრალებამდე, წყლის გარეშე, მიკროორგანიზმების არააქტიურად გასაკეთებლად [1].</w:t>
            </w:r>
          </w:p>
        </w:tc>
      </w:tr>
      <w:tr>
        <w:tc>
          <w:tcPr/>
          <w:p>
            <w:pPr>
              <w:pStyle w:val="Compact"/>
              <w:jc w:val="left"/>
            </w:pPr>
            <w:r>
              <w:t>მოვლის ადგილი</w:t>
            </w:r>
          </w:p>
        </w:tc>
        <w:tc>
          <w:tcPr/>
          <w:p>
            <w:pPr>
              <w:pStyle w:val="Compact"/>
              <w:jc w:val="left"/>
            </w:pPr>
            <w:r>
              <w:t>ადგილი, სადაც მოვლა ხორციელდება: პაციენტის ხელის დაწვდენის მანძილზე, სადაც ერთმანეთს ხვდებიან პაციენტი, მოვლა და ჯანდაცვის მუშაკი [1].</w:t>
            </w:r>
          </w:p>
        </w:tc>
      </w:tr>
      <w:tr>
        <w:tc>
          <w:tcPr/>
          <w:p>
            <w:pPr>
              <w:pStyle w:val="Compact"/>
              <w:jc w:val="left"/>
            </w:pPr>
            <w:r>
              <w:t>ხუთი მომენტი</w:t>
            </w:r>
          </w:p>
        </w:tc>
        <w:tc>
          <w:tcPr/>
          <w:p>
            <w:pPr>
              <w:pStyle w:val="Compact"/>
              <w:jc w:val="left"/>
            </w:pPr>
            <w:r>
              <w:t>მოვლის ხუთი ადგილი, სადაც ხელის ჰიგიენაა სავალდებულო (მუხლი 9.1) [1].</w:t>
            </w:r>
          </w:p>
        </w:tc>
      </w:tr>
      <w:tr>
        <w:tc>
          <w:tcPr/>
          <w:p>
            <w:pPr>
              <w:pStyle w:val="Compact"/>
              <w:jc w:val="left"/>
            </w:pPr>
            <w:r>
              <w:t>სადგური</w:t>
            </w:r>
          </w:p>
        </w:tc>
        <w:tc>
          <w:tcPr/>
          <w:p>
            <w:pPr>
              <w:pStyle w:val="Compact"/>
              <w:jc w:val="left"/>
            </w:pPr>
            <w:r>
              <w:t>ანტისეპტიკის ან საპნის დოზატორი, ქაღალდის პირსახოცებით, ყოველი საწოლის ან სამკურნალო სივრცის ხელის დაწვდენის მანძილზე.</w:t>
            </w:r>
          </w:p>
        </w:tc>
      </w:tr>
      <w:tr>
        <w:tc>
          <w:tcPr/>
          <w:p>
            <w:pPr>
              <w:pStyle w:val="Compact"/>
              <w:jc w:val="left"/>
            </w:pPr>
            <w:r>
              <w:t>ხილულად დაბინძურებული</w:t>
            </w:r>
          </w:p>
        </w:tc>
        <w:tc>
          <w:tcPr/>
          <w:p>
            <w:pPr>
              <w:pStyle w:val="Compact"/>
              <w:jc w:val="left"/>
            </w:pPr>
            <w:r>
              <w:t>ხელები ხილული ჭუჭყით, სისხლით ან სხეულის სითხით, ან ტუალეტის გამოყენების შემდეგ.</w:t>
            </w:r>
          </w:p>
        </w:tc>
      </w:tr>
      <w:tr>
        <w:tc>
          <w:tcPr/>
          <w:p>
            <w:pPr>
              <w:pStyle w:val="Compact"/>
              <w:jc w:val="left"/>
            </w:pPr>
            <w:r>
              <w:t>შესაძლებლობა</w:t>
            </w:r>
          </w:p>
        </w:tc>
        <w:tc>
          <w:tcPr/>
          <w:p>
            <w:pPr>
              <w:pStyle w:val="Compact"/>
              <w:jc w:val="left"/>
            </w:pPr>
            <w:r>
              <w:t>მოვლის მომენტი, როდესაც უნდა შესრულდეს ხელის ჰიგიენა, როგორც აუდიტის დროს დაფიქსირდა [2].</w:t>
            </w:r>
          </w:p>
        </w:tc>
      </w:tr>
      <w:tr>
        <w:tc>
          <w:tcPr/>
          <w:p>
            <w:pPr>
              <w:pStyle w:val="Compact"/>
              <w:jc w:val="left"/>
            </w:pPr>
            <w:r>
              <w:t>შესრულების მაჩვენებელი</w:t>
            </w:r>
          </w:p>
        </w:tc>
        <w:tc>
          <w:tcPr/>
          <w:p>
            <w:pPr>
              <w:pStyle w:val="Compact"/>
              <w:jc w:val="left"/>
            </w:pPr>
            <w:r>
              <w:t>შესრულებული ხელის ჰიგიენის ქმედებები, გაყოფილი დაკვირვებულ შესაძლებლობებზე, გამრავლებული 100-ზე [2].</w:t>
            </w:r>
          </w:p>
        </w:tc>
      </w:tr>
    </w:tbl>
    <w:bookmarkEnd w:id="24"/>
    <w:bookmarkStart w:id="25" w:name="s4"/>
    <w:p>
      <w:pPr>
        <w:pStyle w:val="Heading2"/>
      </w:pPr>
      <w:r>
        <w:t>პოლიტიკის დებულება</w:t>
      </w:r>
    </w:p>
    <w:p>
      <w:pPr>
        <w:pStyle w:val="FirstParagraph"/>
      </w:pPr>
      <w:r>
        <w:t>დაწესებულება მოითხოვს ხელის ჰიგიენას ხუთ მომენტში მოქმედების სფეროში მყოფი ყველა პირისთვის. სადგურებს დაწესებულება უზრუნველყოფს და ინახავს. თანამშრომლები ასრულებენ ხელის ჰიგიენას და აცნობებენ სადგურების, პროდუქტებისა თუ აღჭურვილობის ნებისმიერ ხარვეზს. ხელმძღვანელები უზრუნველყოფენ სადგურებს, პროდუქტებს, სწავლებასა და აუდიტს და მოქმედებენ შედეგების მიხედვით. არც ერთი თანამშრომელი არ დაისჯება ცარიელი სადგურის ან პროდუქტის პრობლემის შეტყობინებისთვის.</w:t>
      </w:r>
    </w:p>
    <w:bookmarkEnd w:id="25"/>
    <w:bookmarkStart w:id="26" w:name="s5"/>
    <w:p>
      <w:pPr>
        <w:pStyle w:val="Heading2"/>
      </w:pPr>
      <w:r>
        <w:t>ფონი და მტკიცებულებები</w:t>
      </w:r>
    </w:p>
    <w:p>
      <w:pPr>
        <w:pStyle w:val="FirstParagraph"/>
      </w:pPr>
      <w:r>
        <w:t>დაბინძურებული ხელები მიკროორგანიზმების გადაადგილების მთავარი გზაა პაციენტებს შორის და პაციენტებსა და თანამშრომლებს შორის [1][3]. გადაცემა შესაძლებელია მაშინაც, როდესაც ხელები სუფთად გამოიყურება, და დაზიანებული ხელთათმანებით ან მათი შეუცვლელობით დავალებებს შორის. ხელის ჰიგიენის შესრულების გაუმჯობესება ნაჩვენებია, რომ ამცირებს ჯანდაცვასთან დაკავშირებულ ინფექციას დაწესებულებაში ჩატარებულ პროგრამაში, რომელიც აერთიანებდა პროდუქტების ხელმისაწვდომობას, სწავლებას, დაკვირვებასა და უკუკავშირს [2]. WHO-ს და აშშ-ის დაავადებათა კონტროლისა და პრევენციის ცენტრის (CDC) რეკომენდაციები განსაზღვრავს მტკიცებულებების ბაზას, ხუთი მომენტის მოდელსა და ამ პროცედურაში გამოყენებულ ტექნიკებს [1][3].</w:t>
      </w:r>
    </w:p>
    <w:bookmarkEnd w:id="26"/>
    <w:bookmarkStart w:id="27" w:name="s6"/>
    <w:p>
      <w:pPr>
        <w:pStyle w:val="Heading2"/>
      </w:pPr>
      <w:r>
        <w:t>როლები და პასუხისმგებლობები</w:t>
      </w:r>
    </w:p>
    <w:tbl>
      <w:tblPr>
        <w:tblStyle w:val="Table"/>
        <w:tblW w:type="auto" w:w="0"/>
        <w:tblLook w:firstRow="1" w:lastRow="0" w:firstColumn="0" w:lastColumn="0" w:noHBand="0" w:noVBand="0" w:val="0020"/>
        <w:jc w:val="start"/>
      </w:tblPr>
      <w:tblGrid>
        <w:gridCol w:w="2640"/>
        <w:gridCol w:w="2640"/>
        <w:gridCol w:w="2640"/>
      </w:tblGrid>
      <w:tr>
        <w:trPr>
          <w:tblHeader w:val="true"/>
        </w:trPr>
        <w:tc>
          <w:tcPr/>
          <w:p>
            <w:pPr>
              <w:pStyle w:val="Compact"/>
              <w:jc w:val="left"/>
            </w:pPr>
            <w:r>
              <w:t>როლი</w:t>
            </w:r>
          </w:p>
        </w:tc>
        <w:tc>
          <w:tcPr/>
          <w:p>
            <w:pPr>
              <w:pStyle w:val="Compact"/>
              <w:jc w:val="left"/>
            </w:pPr>
            <w:r>
              <w:t>პასუხისმგებლობა</w:t>
            </w:r>
          </w:p>
        </w:tc>
        <w:tc>
          <w:tcPr/>
          <w:p>
            <w:pPr>
              <w:pStyle w:val="Compact"/>
              <w:jc w:val="left"/>
            </w:pPr>
            <w:r>
              <w:t>კომპეტენცია</w:t>
            </w:r>
          </w:p>
        </w:tc>
      </w:tr>
      <w:tr>
        <w:tc>
          <w:tcPr/>
          <w:p>
            <w:pPr>
              <w:pStyle w:val="Compact"/>
              <w:jc w:val="left"/>
            </w:pPr>
            <w:r>
              <w:t>აღმასრულებელი დირექტორი ან დირექტორი</w:t>
            </w:r>
          </w:p>
        </w:tc>
        <w:tc>
          <w:tcPr/>
          <w:p>
            <w:pPr>
              <w:pStyle w:val="Compact"/>
              <w:jc w:val="left"/>
            </w:pPr>
            <w:r>
              <w:t>ამტკიცებს ამ პროცედურას. უზრუნველყოფს სადგურებს, პროდუქტებსა და აუდიტის რესურსებს. იღებს კვარტალურ შესრულების ანგარიშებს.</w:t>
            </w:r>
          </w:p>
        </w:tc>
        <w:tc>
          <w:tcPr/>
          <w:p>
            <w:pPr>
              <w:pStyle w:val="Compact"/>
              <w:jc w:val="left"/>
            </w:pPr>
            <w:r>
              <w:t>ინფექციების პრევენციის მმართველობა</w:t>
            </w:r>
          </w:p>
        </w:tc>
      </w:tr>
      <w:tr>
        <w:tc>
          <w:tcPr/>
          <w:p>
            <w:pPr>
              <w:pStyle w:val="Compact"/>
              <w:jc w:val="left"/>
            </w:pPr>
            <w:r>
              <w:t>ინფექციების პრევენციისა და კონტროლის (IPC) ხელმძღვანელი</w:t>
            </w:r>
          </w:p>
        </w:tc>
        <w:tc>
          <w:tcPr/>
          <w:p>
            <w:pPr>
              <w:pStyle w:val="Compact"/>
              <w:jc w:val="left"/>
            </w:pPr>
            <w:r>
              <w:t>ფლობს პროცედურას. ადგენს აუდიტის მეთოდს, ამზადებს აუდიტორებს, აანალიზებს შედეგებს, აცნობებს მმართველობას და ორ წელიწადში ერთხელ ხელახლა იხილავს ამ პროცედურას.</w:t>
            </w:r>
          </w:p>
        </w:tc>
        <w:tc>
          <w:tcPr/>
          <w:p>
            <w:pPr>
              <w:pStyle w:val="Compact"/>
              <w:jc w:val="left"/>
            </w:pPr>
            <w:r>
              <w:t>IPC კვალიფიკაცია; აუდიტის მეთოდის სწავლება</w:t>
            </w:r>
          </w:p>
        </w:tc>
      </w:tr>
      <w:tr>
        <w:tc>
          <w:tcPr/>
          <w:p>
            <w:pPr>
              <w:pStyle w:val="Compact"/>
              <w:jc w:val="left"/>
            </w:pPr>
            <w:r>
              <w:t>პალატის ან განყოფილების მენეჯერი</w:t>
            </w:r>
          </w:p>
        </w:tc>
        <w:tc>
          <w:tcPr/>
          <w:p>
            <w:pPr>
              <w:pStyle w:val="Compact"/>
              <w:jc w:val="left"/>
            </w:pPr>
            <w:r>
              <w:t>უზრუნველყოფს სადგურების არსებობასა და შევსებას. თვეში ერთხელ განიხილავს აუდიტის შედეგებს, შეათანხმებს ქმედებებს გუნდთან და გადასცემს იმ ხარვეზებს, რომლებსაც განყოფილება ვერ დახურავს.</w:t>
            </w:r>
          </w:p>
        </w:tc>
        <w:tc>
          <w:tcPr/>
          <w:p>
            <w:pPr>
              <w:pStyle w:val="Compact"/>
              <w:jc w:val="left"/>
            </w:pPr>
            <w:r>
              <w:t>განყოფილების ხელმძღვანელობა; IPC სწავლება</w:t>
            </w:r>
          </w:p>
        </w:tc>
      </w:tr>
      <w:tr>
        <w:tc>
          <w:tcPr/>
          <w:p>
            <w:pPr>
              <w:pStyle w:val="Compact"/>
              <w:jc w:val="left"/>
            </w:pPr>
            <w:r>
              <w:t>კლინიკური პერსონალი</w:t>
            </w:r>
          </w:p>
        </w:tc>
        <w:tc>
          <w:tcPr/>
          <w:p>
            <w:pPr>
              <w:pStyle w:val="Compact"/>
              <w:jc w:val="left"/>
            </w:pPr>
            <w:r>
              <w:t>შეასრულეთ ხელის ჰიგიენა ხუთ მომენტში. თითოეული ცვლის დაწყებისას შეამოწმეთ თქვენი სადგური. ცარიელი სადგურის ან პროდუქტის პრობლემის შესახებ დაუყოვნებლივ აცნობეთ.</w:t>
            </w:r>
          </w:p>
        </w:tc>
        <w:tc>
          <w:tcPr/>
          <w:p>
            <w:pPr>
              <w:pStyle w:val="Compact"/>
              <w:jc w:val="left"/>
            </w:pPr>
            <w:r>
              <w:t>ინდუქცია და ყოველწლიური კომპეტენცია</w:t>
            </w:r>
          </w:p>
        </w:tc>
      </w:tr>
      <w:tr>
        <w:tc>
          <w:tcPr/>
          <w:p>
            <w:pPr>
              <w:pStyle w:val="Compact"/>
              <w:jc w:val="left"/>
            </w:pPr>
            <w:r>
              <w:t>მარაგისა და შენობა-ნაგებობების გუნდი</w:t>
            </w:r>
          </w:p>
        </w:tc>
        <w:tc>
          <w:tcPr/>
          <w:p>
            <w:pPr>
              <w:pStyle w:val="Compact"/>
              <w:jc w:val="left"/>
            </w:pPr>
            <w:r>
              <w:t>აწვდის პროდუქტებს დადგენილ ნორმამდე, ინახავს დოზატორებს და ამოწმებს ხელსაბნებსა და წყალმომარაგებას.</w:t>
            </w:r>
          </w:p>
        </w:tc>
        <w:tc>
          <w:tcPr/>
          <w:p>
            <w:pPr>
              <w:pStyle w:val="Compact"/>
              <w:jc w:val="left"/>
            </w:pPr>
            <w:r>
              <w:t>მარაგისა და შენობების პროცედურები</w:t>
            </w:r>
          </w:p>
        </w:tc>
      </w:tr>
      <w:tr>
        <w:tc>
          <w:tcPr/>
          <w:p>
            <w:pPr>
              <w:pStyle w:val="Compact"/>
              <w:jc w:val="left"/>
            </w:pPr>
            <w:r>
              <w:t>სამსახურებრივი ჯანმრთელობა</w:t>
            </w:r>
          </w:p>
        </w:tc>
        <w:tc>
          <w:tcPr/>
          <w:p>
            <w:pPr>
              <w:pStyle w:val="Compact"/>
              <w:jc w:val="left"/>
            </w:pPr>
            <w:r>
              <w:t>აფასებს თანამშრომლებს, რომლებიც კანის რეაქციებს აცხადებენ, და იძლევა რეკომენდაციებს შესაბამის პროდუქტებსა და ზომებზე.</w:t>
            </w:r>
          </w:p>
        </w:tc>
        <w:tc>
          <w:tcPr/>
          <w:p>
            <w:pPr>
              <w:pStyle w:val="Compact"/>
              <w:jc w:val="left"/>
            </w:pPr>
            <w:r>
              <w:t>სამსახურებრივი ჯანმრთელობის პრაქტიკა</w:t>
            </w:r>
          </w:p>
        </w:tc>
      </w:tr>
      <w:tr>
        <w:tc>
          <w:tcPr/>
          <w:p>
            <w:pPr>
              <w:pStyle w:val="Compact"/>
              <w:jc w:val="left"/>
            </w:pPr>
            <w:r>
              <w:t>აუდიტორები</w:t>
            </w:r>
          </w:p>
        </w:tc>
        <w:tc>
          <w:tcPr/>
          <w:p>
            <w:pPr>
              <w:pStyle w:val="Compact"/>
              <w:jc w:val="left"/>
            </w:pPr>
            <w:r>
              <w:t>განახორციელეთ პირდაპირი დაკვირვება აუდიტის ინსტრუმენტით (HH-FRM-001), ჩაწერეთ მხოლოდ ის, რაც დააკვირდებიან.</w:t>
            </w:r>
          </w:p>
        </w:tc>
        <w:tc>
          <w:tcPr/>
          <w:p>
            <w:pPr>
              <w:pStyle w:val="Compact"/>
              <w:jc w:val="left"/>
            </w:pPr>
            <w:r>
              <w:t>დამკვირვებლის სწავლება დასრულებულია</w:t>
            </w:r>
          </w:p>
        </w:tc>
      </w:tr>
    </w:tbl>
    <w:p>
      <w:pPr>
        <w:pStyle w:val="BodyText"/>
      </w:pPr>
      <w:r>
        <w:rPr>
          <w:iCs/>
          <w:i/>
        </w:rPr>
        <w:t>გასაღები: R = ასრულებს; A = პასუხისმგებელია შედეგზე; C = კონსულტირდება; I = ინფორმირდება. აუდიტის შედეგზე პასუხისმგებლობა ერთობლივად ეკისრება განყოფილების მენეჯერსა და IPC ხელმძღვანელს.</w:t>
      </w:r>
    </w:p>
    <w:bookmarkEnd w:id="27"/>
    <w:bookmarkStart w:id="28" w:name="s7"/>
    <w:p>
      <w:pPr>
        <w:pStyle w:val="Heading2"/>
      </w:pPr>
      <w:r>
        <w:t>მასალები და აღჭურვილობა</w:t>
      </w:r>
    </w:p>
    <w:tbl>
      <w:tblPr>
        <w:tblStyle w:val="Table"/>
        <w:tblW w:type="auto" w:w="0"/>
        <w:tblLook w:firstRow="1" w:lastRow="0" w:firstColumn="0" w:lastColumn="0" w:noHBand="0" w:noVBand="0" w:val="0020"/>
        <w:jc w:val="start"/>
      </w:tblPr>
      <w:tblGrid>
        <w:gridCol w:w="2640"/>
        <w:gridCol w:w="2640"/>
        <w:gridCol w:w="2640"/>
      </w:tblGrid>
      <w:tr>
        <w:trPr>
          <w:tblHeader w:val="true"/>
        </w:trPr>
        <w:tc>
          <w:tcPr/>
          <w:p>
            <w:pPr>
              <w:pStyle w:val="Compact"/>
              <w:jc w:val="left"/>
            </w:pPr>
            <w:r>
              <w:t>ერთეული</w:t>
            </w:r>
          </w:p>
        </w:tc>
        <w:tc>
          <w:tcPr/>
          <w:p>
            <w:pPr>
              <w:pStyle w:val="Compact"/>
              <w:jc w:val="left"/>
            </w:pPr>
            <w:r>
              <w:t>მოთხოვნა</w:t>
            </w:r>
          </w:p>
        </w:tc>
        <w:tc>
          <w:tcPr/>
          <w:p>
            <w:pPr>
              <w:pStyle w:val="Compact"/>
              <w:jc w:val="left"/>
            </w:pPr>
            <w:r>
              <w:t>სპეციფიკაცია</w:t>
            </w:r>
          </w:p>
        </w:tc>
      </w:tr>
      <w:tr>
        <w:tc>
          <w:tcPr/>
          <w:p>
            <w:pPr>
              <w:pStyle w:val="Compact"/>
              <w:jc w:val="left"/>
            </w:pPr>
            <w:r>
              <w:t>სპირტიანი ანტისეპტიკი</w:t>
            </w:r>
          </w:p>
        </w:tc>
        <w:tc>
          <w:tcPr/>
          <w:p>
            <w:pPr>
              <w:pStyle w:val="Compact"/>
              <w:jc w:val="left"/>
            </w:pPr>
            <w:r>
              <w:t>ყოველ სადგურზე, ყოველი საწოლის ან სამკურნალო სივრცის ხელის დაწვდენის მანძილზე.</w:t>
            </w:r>
          </w:p>
        </w:tc>
        <w:tc>
          <w:tcPr/>
          <w:p>
            <w:pPr>
              <w:pStyle w:val="Compact"/>
              <w:jc w:val="left"/>
            </w:pPr>
            <w:r>
              <w:t>დაწესებულების მიერ დამტკიცებული პროდუქტი, ვადაში, საწყობში ჩაწერილი პარტიითა და ვადის გასვლის თარიღით.</w:t>
            </w:r>
          </w:p>
        </w:tc>
      </w:tr>
      <w:tr>
        <w:tc>
          <w:tcPr/>
          <w:p>
            <w:pPr>
              <w:pStyle w:val="Compact"/>
              <w:jc w:val="left"/>
            </w:pPr>
            <w:r>
              <w:t>თხევადი საპონი და მდინარე წყალი</w:t>
            </w:r>
          </w:p>
        </w:tc>
        <w:tc>
          <w:tcPr/>
          <w:p>
            <w:pPr>
              <w:pStyle w:val="Compact"/>
              <w:jc w:val="left"/>
            </w:pPr>
            <w:r>
              <w:t>პაციენტის მოვლისთვის გამოყენებულ ყოველ ხელსაბანთან.</w:t>
            </w:r>
          </w:p>
        </w:tc>
        <w:tc>
          <w:tcPr/>
          <w:p>
            <w:pPr>
              <w:pStyle w:val="Compact"/>
              <w:jc w:val="left"/>
            </w:pPr>
            <w:r>
              <w:t>თხევადი, არაანტიმიკრობული საპონი, თუ ადგილობრივი პოლიტიკა სხვას არ მიუთითებს.</w:t>
            </w:r>
          </w:p>
        </w:tc>
      </w:tr>
      <w:tr>
        <w:tc>
          <w:tcPr/>
          <w:p>
            <w:pPr>
              <w:pStyle w:val="Compact"/>
              <w:jc w:val="left"/>
            </w:pPr>
            <w:r>
              <w:t>ერთჯერადი ქაღალდის პირსახოცები</w:t>
            </w:r>
          </w:p>
        </w:tc>
        <w:tc>
          <w:tcPr/>
          <w:p>
            <w:pPr>
              <w:pStyle w:val="Compact"/>
              <w:jc w:val="left"/>
            </w:pPr>
            <w:r>
              <w:t>ყოველ ხელსაბანსა და სადგურზე.</w:t>
            </w:r>
          </w:p>
        </w:tc>
        <w:tc>
          <w:tcPr/>
          <w:p>
            <w:pPr>
              <w:pStyle w:val="Compact"/>
              <w:jc w:val="left"/>
            </w:pPr>
            <w:r>
              <w:t>ერთჯერადი; არასოდეს არის გაზიარებული ან ხელმეორედ გამოყენებული.</w:t>
            </w:r>
          </w:p>
        </w:tc>
      </w:tr>
      <w:tr>
        <w:tc>
          <w:tcPr/>
          <w:p>
            <w:pPr>
              <w:pStyle w:val="Compact"/>
              <w:jc w:val="left"/>
            </w:pPr>
            <w:r>
              <w:t>ნაგვის ურნა</w:t>
            </w:r>
          </w:p>
        </w:tc>
        <w:tc>
          <w:tcPr/>
          <w:p>
            <w:pPr>
              <w:pStyle w:val="Compact"/>
              <w:jc w:val="left"/>
            </w:pPr>
            <w:r>
              <w:t>ფეხით მართვადი, ყოველ ხელსაბანთან და ყოველი საწოლის მახლობლად.</w:t>
            </w:r>
          </w:p>
        </w:tc>
        <w:tc>
          <w:tcPr/>
          <w:p>
            <w:pPr>
              <w:pStyle w:val="Compact"/>
              <w:jc w:val="left"/>
            </w:pPr>
            <w:r>
              <w:t>ჩადებული პარკით; ცარიელდება სავსემდე.</w:t>
            </w:r>
          </w:p>
        </w:tc>
      </w:tr>
      <w:tr>
        <w:tc>
          <w:tcPr/>
          <w:p>
            <w:pPr>
              <w:pStyle w:val="Compact"/>
              <w:jc w:val="left"/>
            </w:pPr>
            <w:r>
              <w:t>კანის მოვლის პროდუქტი</w:t>
            </w:r>
          </w:p>
        </w:tc>
        <w:tc>
          <w:tcPr/>
          <w:p>
            <w:pPr>
              <w:pStyle w:val="Compact"/>
              <w:jc w:val="left"/>
            </w:pPr>
            <w:r>
              <w:t>ხელმისაწვდომია ყველა თანამშრომლისთვის სამსახურებრივი ჯანმრთელობის ან მარაგის გუნდისგან.</w:t>
            </w:r>
          </w:p>
        </w:tc>
        <w:tc>
          <w:tcPr/>
          <w:p>
            <w:pPr>
              <w:pStyle w:val="Compact"/>
              <w:jc w:val="left"/>
            </w:pPr>
            <w:r>
              <w:t>დამტკიცებულია ანტისეპტიკთან და საპონთან გამოსაყენებლად.</w:t>
            </w:r>
          </w:p>
        </w:tc>
      </w:tr>
    </w:tbl>
    <w:bookmarkEnd w:id="28"/>
    <w:bookmarkStart w:id="29" w:name="s8"/>
    <w:p>
      <w:pPr>
        <w:pStyle w:val="Heading2"/>
      </w:pPr>
      <w:r>
        <w:t>უსაფრთხოება და პროდუქტის კონტროლი</w:t>
      </w:r>
    </w:p>
    <w:p>
      <w:pPr>
        <w:numPr>
          <w:ilvl w:val="0"/>
          <w:numId w:val="1002"/>
        </w:numPr>
        <w:pStyle w:val="Compact"/>
      </w:pPr>
      <w:r>
        <w:t>გამოიყენეთ მხოლოდ დაწესებულების მიერ დამტკიცებული პროდუქტები. გამოყენებამდე შეამოწმეთ ვადა და პარტია. პროდუქტი არ გადაასხათ უნიშნო ჭურჭელში.</w:t>
      </w:r>
    </w:p>
    <w:p>
      <w:pPr>
        <w:numPr>
          <w:ilvl w:val="0"/>
          <w:numId w:val="1002"/>
        </w:numPr>
        <w:pStyle w:val="Compact"/>
      </w:pPr>
      <w:r>
        <w:t>ანტისეპტიკური ხსნარი შეინახეთ სითბოსგან და ღია ალისგან მოშორებით. მარაგი შეინახეთ საწყობში, მხოლოდ იმ რაოდენობით, რაც სჭირდება განყოფილების თითოეულ სადგურს.</w:t>
      </w:r>
    </w:p>
    <w:p>
      <w:pPr>
        <w:numPr>
          <w:ilvl w:val="0"/>
          <w:numId w:val="1002"/>
        </w:numPr>
        <w:pStyle w:val="Compact"/>
      </w:pPr>
      <w:r>
        <w:t>დერმატიტის, ქავილის ან პროდუქტისადმი შეუწყნარებლობის შესახებ იმავე დღეს აცნობეთ სამსახურებრივი ჯანმრთელობის სამსახურს. კანის სიმპტომების გამო ხელის ჰიგიენა არ შეწყვიტოთ; მოითხოვეთ დამტკიცებული ალტერნატივა.</w:t>
      </w:r>
    </w:p>
    <w:p>
      <w:pPr>
        <w:numPr>
          <w:ilvl w:val="0"/>
          <w:numId w:val="1002"/>
        </w:numPr>
        <w:pStyle w:val="Compact"/>
      </w:pPr>
      <w:r>
        <w:t>სადაც მიკროორგანიზმზე სპეციფიკური სიფრთხილის ზომები მოქმედებს, მათ მიჰყევით. მაგალითად, ეჭვმიტანილი ან დადასტურებული Clostridioides difficile ინფექციისას უპირატესობა ენიჭება საპანსა და წყალს ანტისეპტიკთან შედარებით [3].</w:t>
      </w:r>
      <w:r/>
      <w:r>
        <w:rPr>
          <w:iCs/>
          <w:i/>
        </w:rPr>
      </w:r>
      <w:r/>
      <w:r/>
    </w:p>
    <w:p>
      <w:pPr>
        <w:numPr>
          <w:ilvl w:val="0"/>
          <w:numId w:val="1002"/>
        </w:numPr>
        <w:pStyle w:val="Compact"/>
      </w:pPr>
      <w:r>
        <w:t>თუ სადგური არ არის ხელმისაწვდომი, გამოიყენეთ უახლოესი ხელსაბანი ან შეაჩერეთ დავალება და დახმარება გამოიძახეთ. მოვლენა აღრიცხეთ ინციდენტების სისტემაში.</w:t>
      </w:r>
    </w:p>
    <w:bookmarkEnd w:id="29"/>
    <w:bookmarkStart w:id="37" w:name="s9"/>
    <w:p>
      <w:pPr>
        <w:pStyle w:val="Heading2"/>
      </w:pPr>
      <w:r>
        <w:t>პროცედურა</w:t>
      </w:r>
    </w:p>
    <w:bookmarkStart w:id="30" w:name="the-five-moments-for-hand-hygiene"/>
    <w:p>
      <w:pPr>
        <w:pStyle w:val="Heading3"/>
      </w:pPr>
      <w:r>
        <w:t>9.1 ხელის ჰიგიენის ხუთი მომენტი</w:t>
      </w:r>
    </w:p>
    <w:tbl>
      <w:tblPr>
        <w:tblStyle w:val="Table"/>
        <w:tblW w:type="auto" w:w="0"/>
        <w:tblLook w:firstRow="1" w:lastRow="0" w:firstColumn="0" w:lastColumn="0" w:noHBand="0" w:noVBand="0" w:val="0020"/>
        <w:jc w:val="start"/>
      </w:tblPr>
      <w:tblGrid>
        <w:gridCol w:w="2640"/>
        <w:gridCol w:w="2640"/>
        <w:gridCol w:w="2640"/>
      </w:tblGrid>
      <w:tr>
        <w:trPr>
          <w:tblHeader w:val="true"/>
        </w:trPr>
        <w:tc>
          <w:tcPr/>
          <w:p>
            <w:pPr>
              <w:pStyle w:val="Compact"/>
              <w:jc w:val="left"/>
            </w:pPr>
            <w:r>
              <w:t>მომენტი</w:t>
            </w:r>
          </w:p>
        </w:tc>
        <w:tc>
          <w:tcPr/>
          <w:p>
            <w:pPr>
              <w:pStyle w:val="Compact"/>
              <w:jc w:val="left"/>
            </w:pPr>
            <w:r>
              <w:t>როდის შევასრულოთ ხელის ჰიგიენა</w:t>
            </w:r>
          </w:p>
        </w:tc>
        <w:tc>
          <w:tcPr/>
          <w:p>
            <w:pPr>
              <w:pStyle w:val="Compact"/>
              <w:jc w:val="left"/>
            </w:pPr>
            <w:r>
              <w:t>მაგალითი</w:t>
            </w:r>
          </w:p>
        </w:tc>
      </w:tr>
      <w:tr>
        <w:tc>
          <w:tcPr/>
          <w:p>
            <w:pPr>
              <w:pStyle w:val="Compact"/>
              <w:jc w:val="left"/>
            </w:pPr>
            <w:r>
              <w:t>1. პაციენტთან კონტაქტამდე</w:t>
            </w:r>
          </w:p>
        </w:tc>
        <w:tc>
          <w:tcPr/>
          <w:p>
            <w:pPr>
              <w:pStyle w:val="Compact"/>
              <w:jc w:val="left"/>
            </w:pPr>
            <w:r>
              <w:t>სანამ პაციენტს ან მის უშუალო გარემოს შეეხებით.</w:t>
            </w:r>
          </w:p>
        </w:tc>
        <w:tc>
          <w:tcPr/>
          <w:p>
            <w:pPr>
              <w:pStyle w:val="Compact"/>
              <w:jc w:val="left"/>
            </w:pPr>
            <w:r>
              <w:t>პულსის აღებამდე ან პაციენტის წამოჯდომაში დახმარებამდე.</w:t>
            </w:r>
          </w:p>
        </w:tc>
      </w:tr>
      <w:tr>
        <w:tc>
          <w:tcPr/>
          <w:p>
            <w:pPr>
              <w:pStyle w:val="Compact"/>
              <w:jc w:val="left"/>
            </w:pPr>
            <w:r>
              <w:t>2. სუფთა ან ასეპტიკური პროცედურის წინ</w:t>
            </w:r>
          </w:p>
        </w:tc>
        <w:tc>
          <w:tcPr/>
          <w:p>
            <w:pPr>
              <w:pStyle w:val="Compact"/>
              <w:jc w:val="left"/>
            </w:pPr>
            <w:r>
              <w:t>დაუყოვნებლივ ნებისმიერი დავალების წინ, რომელიც სუფთა ან სტერილურ ადგილს ეხება.</w:t>
            </w:r>
          </w:p>
        </w:tc>
        <w:tc>
          <w:tcPr/>
          <w:p>
            <w:pPr>
              <w:pStyle w:val="Compact"/>
              <w:jc w:val="left"/>
            </w:pPr>
            <w:r>
              <w:t>კათეტერის ჩასმამდე, მედიკამენტების მომზადებამდე ან სამკურნალო ხუფის შეცვლამდე.</w:t>
            </w:r>
          </w:p>
        </w:tc>
      </w:tr>
      <w:tr>
        <w:tc>
          <w:tcPr/>
          <w:p>
            <w:pPr>
              <w:pStyle w:val="Compact"/>
              <w:jc w:val="left"/>
            </w:pPr>
            <w:r>
              <w:t>3. სხეულის სითხესთან კონტაქტის რისკის შემდეგ</w:t>
            </w:r>
          </w:p>
        </w:tc>
        <w:tc>
          <w:tcPr/>
          <w:p>
            <w:pPr>
              <w:pStyle w:val="Compact"/>
              <w:jc w:val="left"/>
            </w:pPr>
            <w:r>
              <w:t>დაუყოვნებლივ სისხლთან, სხეულის სითხესთან, სეკრეტებთან ან ექსკრეტებთან ექსპოზიციის რისკის შემდეგ, მათ შორის ხელთათმანის მოხსნის შემდეგ.</w:t>
            </w:r>
          </w:p>
        </w:tc>
        <w:tc>
          <w:tcPr/>
          <w:p>
            <w:pPr>
              <w:pStyle w:val="Compact"/>
              <w:jc w:val="left"/>
            </w:pPr>
            <w:r>
              <w:t>დრენაჟის დაცლის, დაბინძურებული სახვევის მოხსნის ან დაღვრილის მოწმენდის შემდეგ.</w:t>
            </w:r>
          </w:p>
        </w:tc>
      </w:tr>
      <w:tr>
        <w:tc>
          <w:tcPr/>
          <w:p>
            <w:pPr>
              <w:pStyle w:val="Compact"/>
              <w:jc w:val="left"/>
            </w:pPr>
            <w:r>
              <w:t>4. პაციენტთან კონტაქტის შემდეგ</w:t>
            </w:r>
          </w:p>
        </w:tc>
        <w:tc>
          <w:tcPr/>
          <w:p>
            <w:pPr>
              <w:pStyle w:val="Compact"/>
              <w:jc w:val="left"/>
            </w:pPr>
            <w:r>
              <w:t>პაციენტთან დატოვებისას, შემდეგ პაციენტთან გადასვლამდე.</w:t>
            </w:r>
          </w:p>
        </w:tc>
        <w:tc>
          <w:tcPr/>
          <w:p>
            <w:pPr>
              <w:pStyle w:val="Compact"/>
              <w:jc w:val="left"/>
            </w:pPr>
            <w:r>
              <w:t>გასინჯვის ან პერსონალური მოვლის დავალების შემდეგ.</w:t>
            </w:r>
          </w:p>
        </w:tc>
      </w:tr>
      <w:tr>
        <w:tc>
          <w:tcPr/>
          <w:p>
            <w:pPr>
              <w:pStyle w:val="Compact"/>
              <w:jc w:val="left"/>
            </w:pPr>
            <w:r>
              <w:t>5. პაციენტის გარემოსთან კონტაქტის შემდეგ</w:t>
            </w:r>
          </w:p>
        </w:tc>
        <w:tc>
          <w:tcPr/>
          <w:p>
            <w:pPr>
              <w:pStyle w:val="Compact"/>
              <w:jc w:val="left"/>
            </w:pPr>
            <w:r>
              <w:t>პაციენტთან ახლოს არსებული რაიმეს შეხების შემდეგ, როდესაც თავად პაციენტს არ შეხებიხართ.</w:t>
            </w:r>
          </w:p>
        </w:tc>
        <w:tc>
          <w:tcPr/>
          <w:p>
            <w:pPr>
              <w:pStyle w:val="Compact"/>
              <w:jc w:val="left"/>
            </w:pPr>
            <w:r>
              <w:t>საწოლის მოაჯირის, მონიტორის, სკამის ან საწოლის გვერდის მაგიდის დარეგულირების შემდეგ.</w:t>
            </w:r>
          </w:p>
        </w:tc>
      </w:tr>
    </w:tbl>
    <w:p>
      <w:pPr>
        <w:pStyle w:val="BodyText"/>
      </w:pPr>
      <w:r>
        <w:t>ხუთი მომენტი WHO-ს ხელის ჰიგიენის მიდგომის საფუძველია [1].</w:t>
      </w:r>
    </w:p>
    <w:bookmarkEnd w:id="30"/>
    <w:bookmarkStart w:id="31" w:name="choose-the-method"/>
    <w:p>
      <w:pPr>
        <w:pStyle w:val="Heading3"/>
      </w:pPr>
      <w:r>
        <w:t>9.2 აირჩიეთ მეთოდი</w:t>
      </w:r>
    </w:p>
    <w:p>
      <w:pPr>
        <w:numPr>
          <w:ilvl w:val="0"/>
          <w:numId w:val="1003"/>
        </w:numPr>
        <w:pStyle w:val="Compact"/>
      </w:pPr>
      <w:r>
        <w:rPr>
          <w:bCs/>
          <w:b/>
        </w:rPr>
        <w:t>სპირტიანი ანტისეპტიკი სასურველი მეთოდია, როდესაც ხელები ხილულად არ არის დაბინძურებული [1].</w:t>
      </w:r>
      <w:r/>
      <w:r/>
    </w:p>
    <w:p>
      <w:pPr>
        <w:numPr>
          <w:ilvl w:val="0"/>
          <w:numId w:val="1003"/>
        </w:numPr>
        <w:pStyle w:val="Compact"/>
      </w:pPr>
      <w:r>
        <w:rPr>
          <w:bCs/>
          <w:b/>
        </w:rPr>
        <w:t>საპონი და წყალი გამოიყენება, როდესაც ხელები ხილულად დაბინძურებულია ან სისხლით ან სხეულის სითხით არის დაბინძურებული, ტუალეტის გამოყენების შემდეგ და იქ, სადაც კონკრეტული მიკროორგანიზმის პროტოკოლი ამას მოითხოვს [1][3].</w:t>
      </w:r>
      <w:r/>
      <w:r/>
    </w:p>
    <w:p>
      <w:pPr>
        <w:numPr>
          <w:ilvl w:val="0"/>
          <w:numId w:val="1003"/>
        </w:numPr>
        <w:pStyle w:val="Compact"/>
      </w:pPr>
      <w:r>
        <w:t>თუ გამოყენებულია საპონი და წყალი, ანტისეპტიკის წასმამდე ხელები სრულად უნდა იყოს გამხმარი, ან ანტისეპტიკი იმ მომენტში არ გამოიყენება.</w:t>
      </w:r>
    </w:p>
    <w:bookmarkEnd w:id="31"/>
    <w:bookmarkStart w:id="32" w:name="Xd946a9dfef5e2be631aa29011d267250484823d"/>
    <w:p>
      <w:pPr>
        <w:pStyle w:val="Heading3"/>
      </w:pPr>
      <w:r>
        <w:t>9.3 სპირტიანი ანტისეპტიკის ტექნიკა (20-დან 30 წამამდე)</w:t>
      </w:r>
    </w:p>
    <w:p>
      <w:pPr>
        <w:numPr>
          <w:ilvl w:val="0"/>
          <w:numId w:val="1004"/>
        </w:numPr>
        <w:pStyle w:val="Compact"/>
      </w:pPr>
      <w:r>
        <w:t>წაისვით საკმარისი რაოდენობით პროდუქტი ხელის ყველა ზედაპირის დასაფარად (დაახლოებით 3 მლ).</w:t>
      </w:r>
    </w:p>
    <w:p>
      <w:pPr>
        <w:numPr>
          <w:ilvl w:val="0"/>
          <w:numId w:val="1004"/>
        </w:numPr>
        <w:pStyle w:val="Compact"/>
      </w:pPr>
      <w:r>
        <w:t>იფშვნეთ ხელისგული ხელისგულზე.</w:t>
      </w:r>
    </w:p>
    <w:p>
      <w:pPr>
        <w:numPr>
          <w:ilvl w:val="0"/>
          <w:numId w:val="1004"/>
        </w:numPr>
        <w:pStyle w:val="Compact"/>
      </w:pPr>
      <w:r>
        <w:t>მარჯვენა ხელისგული მარცხენა ხელის ზურგზე, თითები გადაჯაჭვული; შემდეგ პირიქით.</w:t>
      </w:r>
    </w:p>
    <w:p>
      <w:pPr>
        <w:numPr>
          <w:ilvl w:val="0"/>
          <w:numId w:val="1004"/>
        </w:numPr>
        <w:pStyle w:val="Compact"/>
      </w:pPr>
      <w:r>
        <w:t>ხელისგული ხელისგულზე, თითები გადაჯაჭვული.</w:t>
      </w:r>
    </w:p>
    <w:p>
      <w:pPr>
        <w:numPr>
          <w:ilvl w:val="0"/>
          <w:numId w:val="1004"/>
        </w:numPr>
        <w:pStyle w:val="Compact"/>
      </w:pPr>
      <w:r>
        <w:t>თითების ზურგი მოპირდაპირე ხელისგულზე, თითები გადაჯაჭვული.</w:t>
      </w:r>
    </w:p>
    <w:p>
      <w:pPr>
        <w:numPr>
          <w:ilvl w:val="0"/>
          <w:numId w:val="1004"/>
        </w:numPr>
        <w:pStyle w:val="Compact"/>
      </w:pPr>
      <w:r>
        <w:t>თითოეული ცერის როტაციული ტრიალი, მოპირდაპირე ხელში დაჭერილი.</w:t>
      </w:r>
    </w:p>
    <w:p>
      <w:pPr>
        <w:numPr>
          <w:ilvl w:val="0"/>
          <w:numId w:val="1004"/>
        </w:numPr>
        <w:pStyle w:val="Compact"/>
      </w:pPr>
      <w:r>
        <w:t>თითების წვერების როტაციული ტრიალი მოპირდაპირე ხელისგულზე, წინ და უკან.</w:t>
      </w:r>
    </w:p>
    <w:p>
      <w:pPr>
        <w:numPr>
          <w:ilvl w:val="0"/>
          <w:numId w:val="1004"/>
        </w:numPr>
        <w:pStyle w:val="Compact"/>
      </w:pPr>
      <w:r>
        <w:t>იფშვნეთ, სანამ ხელები სრულად არ გამოშრება. პროდუქტი არ ჩამოიბანოთ და არ მოიწმინდოთ გამოშრობამდე [1].</w:t>
      </w:r>
    </w:p>
    <w:bookmarkEnd w:id="32"/>
    <w:bookmarkStart w:id="33" w:name="handwashing-technique-40-to-60-seconds"/>
    <w:p>
      <w:pPr>
        <w:pStyle w:val="Heading3"/>
      </w:pPr>
      <w:r>
        <w:t>9.4 ხელის დაბანის ტექნიკა (40-დან 60 წამამდე)</w:t>
      </w:r>
    </w:p>
    <w:p>
      <w:pPr>
        <w:numPr>
          <w:ilvl w:val="0"/>
          <w:numId w:val="1005"/>
        </w:numPr>
        <w:pStyle w:val="Compact"/>
      </w:pPr>
      <w:r>
        <w:t>დაასველეთ ხელები წყლით და წაისვით საკმარისი საპონი ყველა ზედაპირის დასაფარად.</w:t>
      </w:r>
    </w:p>
    <w:p>
      <w:pPr>
        <w:numPr>
          <w:ilvl w:val="0"/>
          <w:numId w:val="1005"/>
        </w:numPr>
        <w:pStyle w:val="Compact"/>
      </w:pPr>
      <w:r>
        <w:t>მიჰყევით მუხლ 9.3-ის ნაბიჯებს 2-დან 7-მდე, მდინარე წყლის ქვეშ გამორეცხვით.</w:t>
      </w:r>
    </w:p>
    <w:p>
      <w:pPr>
        <w:numPr>
          <w:ilvl w:val="0"/>
          <w:numId w:val="1005"/>
        </w:numPr>
        <w:pStyle w:val="Compact"/>
      </w:pPr>
      <w:r>
        <w:t>კარგად გაივლეთ წყლით, რომ კანზე საპონი არ დარჩეს.</w:t>
      </w:r>
    </w:p>
    <w:p>
      <w:pPr>
        <w:numPr>
          <w:ilvl w:val="0"/>
          <w:numId w:val="1005"/>
        </w:numPr>
        <w:pStyle w:val="Compact"/>
      </w:pPr>
      <w:r>
        <w:t>კარგად გაიმშრალეთ ხელები ერთჯერადი ქაღალდის პირსახოცით.</w:t>
      </w:r>
    </w:p>
    <w:p>
      <w:pPr>
        <w:numPr>
          <w:ilvl w:val="0"/>
          <w:numId w:val="1005"/>
        </w:numPr>
        <w:pStyle w:val="Compact"/>
      </w:pPr>
      <w:r>
        <w:t>ხელით მართვადი ონკანის დასაკეტად გამოიყენეთ პირსახოცი, შემდეგ ჩააგდეთ ნაგვის ურნაში [1].</w:t>
      </w:r>
    </w:p>
    <w:bookmarkEnd w:id="33"/>
    <w:bookmarkStart w:id="34" w:name="start-of-each-shift"/>
    <w:p>
      <w:pPr>
        <w:pStyle w:val="Heading3"/>
      </w:pPr>
      <w:r>
        <w:t>9.5 ცვლის დაწყება</w:t>
      </w:r>
    </w:p>
    <w:p>
      <w:pPr>
        <w:numPr>
          <w:ilvl w:val="0"/>
          <w:numId w:val="1006"/>
        </w:numPr>
        <w:pStyle w:val="Compact"/>
      </w:pPr>
      <w:r>
        <w:t>შეამოწმეთ, აქვს თუ არა თქვენს სივრცეში სადგურს ანტისეპტიკი და ქაღალდის პირსახოცები და ვადაში არის თუ არა პროდუქტი.</w:t>
      </w:r>
    </w:p>
    <w:p>
      <w:pPr>
        <w:numPr>
          <w:ilvl w:val="0"/>
          <w:numId w:val="1006"/>
        </w:numPr>
        <w:pStyle w:val="Compact"/>
      </w:pPr>
      <w:r>
        <w:t>თუ სადგური ცარიელია ან პროდუქტი აკლია, შეავსეთ მარაგის საწყობიდან, ან დაუყოვნებლივ აცნობეთ ხარვეზის შესახებ პალატის მენეჯერს.</w:t>
      </w:r>
    </w:p>
    <w:p>
      <w:pPr>
        <w:numPr>
          <w:ilvl w:val="0"/>
          <w:numId w:val="1006"/>
        </w:numPr>
        <w:pStyle w:val="Compact"/>
      </w:pPr>
      <w:r>
        <w:t>ჩაწერეთ ყოველი სადგური, რომელიც შეტყობინებიდან ერთი საათის შემდეგაც ცარიელია, შეტყობინების დროით.</w:t>
      </w:r>
    </w:p>
    <w:bookmarkEnd w:id="34"/>
    <w:bookmarkStart w:id="35" w:name="hands-nails-and-jewellery"/>
    <w:p>
      <w:pPr>
        <w:pStyle w:val="Heading3"/>
      </w:pPr>
      <w:r>
        <w:t>9.6 ხელები, ფრჩხილები და სამკაულები</w:t>
      </w:r>
    </w:p>
    <w:p>
      <w:pPr>
        <w:numPr>
          <w:ilvl w:val="0"/>
          <w:numId w:val="1007"/>
        </w:numPr>
        <w:pStyle w:val="Compact"/>
      </w:pPr>
      <w:r>
        <w:t>ფრჩხილები შეინარჩუნეთ მოკლე და ბუნებრივი. ხელოვნური ფრჩხილები და გაჭყლეტილი ლაქი კლინიკურ სივრცეებში დაუშვებელია, თუ ადგილობრივი პოლიტიკა სხვას არ ითვალისწინებს [1].</w:t>
      </w:r>
    </w:p>
    <w:p>
      <w:pPr>
        <w:numPr>
          <w:ilvl w:val="0"/>
          <w:numId w:val="1007"/>
        </w:numPr>
        <w:pStyle w:val="Compact"/>
      </w:pPr>
      <w:r>
        <w:t>მოიხსენით ბეჭდები და სამაჯურები, რომლებიც ხელის ჰიგიენის ტექნიკას ხელს უშლის ყველა ზედაპირამდე მისვლაში. გლუვი ბეჭედი შეიძლება ტარდებოდეს, თუ ადგილობრივი პოლიტიკა ამის საშუალებას იძლევა [1].</w:t>
      </w:r>
    </w:p>
    <w:p>
      <w:pPr>
        <w:numPr>
          <w:ilvl w:val="0"/>
          <w:numId w:val="1007"/>
        </w:numPr>
        <w:pStyle w:val="Compact"/>
      </w:pPr>
      <w:r>
        <w:t>ხელები დაამუშავეთ დამტკიცებული კრემით, განსაკუთრებით განმეორებითი დაბანის შემდეგ.</w:t>
      </w:r>
    </w:p>
    <w:bookmarkEnd w:id="35"/>
    <w:bookmarkStart w:id="36" w:name="gloves"/>
    <w:p>
      <w:pPr>
        <w:pStyle w:val="Heading3"/>
      </w:pPr>
      <w:r>
        <w:t>9.7 ხელთათმანები</w:t>
      </w:r>
    </w:p>
    <w:p>
      <w:pPr>
        <w:numPr>
          <w:ilvl w:val="0"/>
          <w:numId w:val="1008"/>
        </w:numPr>
        <w:pStyle w:val="Compact"/>
      </w:pPr>
      <w:r>
        <w:t>ხელის ჰიგიენა შეასრულეთ ხელთათმანის ჩაცმამდე და მისი გახდისთანავე [1].</w:t>
      </w:r>
    </w:p>
    <w:p>
      <w:pPr>
        <w:numPr>
          <w:ilvl w:val="0"/>
          <w:numId w:val="1008"/>
        </w:numPr>
        <w:pStyle w:val="Compact"/>
      </w:pPr>
      <w:r>
        <w:t>შეცვალეთ ხელთათმანები პაციენტებს შორის და დაბინძურებულ და სუფთა დავალებებს შორის ერთსა და იმავე პაციენტზე.</w:t>
      </w:r>
    </w:p>
    <w:p>
      <w:pPr>
        <w:numPr>
          <w:ilvl w:val="0"/>
          <w:numId w:val="1008"/>
        </w:numPr>
        <w:pStyle w:val="Compact"/>
      </w:pPr>
      <w:r>
        <w:t>ერთჯერადი ხელთათმანები განმეორებითი გამოყენებისთვის არ გარეცხოთ და არ დეზინფექცირდეთ.</w:t>
      </w:r>
    </w:p>
    <w:p>
      <w:pPr>
        <w:numPr>
          <w:ilvl w:val="0"/>
          <w:numId w:val="1008"/>
        </w:numPr>
        <w:pStyle w:val="Compact"/>
      </w:pPr>
      <w:r>
        <w:t>თუ ხელთათმანი იხევს, მოიხსენით, შეასრულეთ ხელის ჰიგიენა და ახალი ხელთათმანი ჩაიცვით გაგრძელებამდე.</w:t>
      </w:r>
    </w:p>
    <w:bookmarkEnd w:id="36"/>
    <w:bookmarkEnd w:id="37"/>
    <w:bookmarkStart w:id="38" w:name="s10"/>
    <w:p>
      <w:pPr>
        <w:pStyle w:val="Heading2"/>
      </w:pPr>
      <w:r>
        <w:t>გადაწყვეტილების წერტილები</w:t>
      </w:r>
    </w:p>
    <w:tbl>
      <w:tblPr>
        <w:tblStyle w:val="Table"/>
        <w:tblW w:type="auto" w:w="0"/>
        <w:tblLook w:firstRow="1" w:lastRow="0" w:firstColumn="0" w:lastColumn="0" w:noHBand="0" w:noVBand="0" w:val="0020"/>
        <w:jc w:val="start"/>
      </w:tblPr>
      <w:tblGrid>
        <w:gridCol w:w="3960"/>
        <w:gridCol w:w="3960"/>
      </w:tblGrid>
      <w:tr>
        <w:trPr>
          <w:tblHeader w:val="true"/>
        </w:trPr>
        <w:tc>
          <w:tcPr/>
          <w:p>
            <w:pPr>
              <w:pStyle w:val="Compact"/>
              <w:jc w:val="left"/>
            </w:pPr>
            <w:r>
              <w:t>თუ</w:t>
            </w:r>
          </w:p>
        </w:tc>
        <w:tc>
          <w:tcPr/>
          <w:p>
            <w:pPr>
              <w:pStyle w:val="Compact"/>
              <w:jc w:val="left"/>
            </w:pPr>
            <w:r>
              <w:t>შემდეგ</w:t>
            </w:r>
          </w:p>
        </w:tc>
      </w:tr>
      <w:tr>
        <w:tc>
          <w:tcPr/>
          <w:p>
            <w:pPr>
              <w:pStyle w:val="Compact"/>
              <w:jc w:val="left"/>
            </w:pPr>
            <w:r>
              <w:t>ხელები ხილულად დაბინძურებული არ არის</w:t>
            </w:r>
          </w:p>
        </w:tc>
        <w:tc>
          <w:tcPr/>
          <w:p>
            <w:pPr>
              <w:pStyle w:val="Compact"/>
              <w:jc w:val="left"/>
            </w:pPr>
            <w:r>
              <w:t>გამოიყენეთ სპირტიანი ანტისეპტიკი (მუხლი 9.3).</w:t>
            </w:r>
          </w:p>
        </w:tc>
      </w:tr>
      <w:tr>
        <w:tc>
          <w:tcPr/>
          <w:p>
            <w:pPr>
              <w:pStyle w:val="Compact"/>
              <w:jc w:val="left"/>
            </w:pPr>
            <w:r>
              <w:t>ხელები ხილულად დაბინძურებულია, ან სისხლით ან სხეულის სითხით არის დაბინძურებული</w:t>
            </w:r>
          </w:p>
        </w:tc>
        <w:tc>
          <w:tcPr/>
          <w:p>
            <w:pPr>
              <w:pStyle w:val="Compact"/>
              <w:jc w:val="left"/>
            </w:pPr>
            <w:r>
              <w:t>გამოიყენეთ საპონი და წყალი (მუხლი 9.4).</w:t>
            </w:r>
          </w:p>
        </w:tc>
      </w:tr>
      <w:tr>
        <w:tc>
          <w:tcPr/>
          <w:p>
            <w:pPr>
              <w:pStyle w:val="Compact"/>
              <w:jc w:val="left"/>
            </w:pPr>
            <w:r>
              <w:t>ტუალეტი გამოიყენეთ</w:t>
            </w:r>
          </w:p>
        </w:tc>
        <w:tc>
          <w:tcPr/>
          <w:p>
            <w:pPr>
              <w:pStyle w:val="Compact"/>
              <w:jc w:val="left"/>
            </w:pPr>
            <w:r>
              <w:t>გამოიყენეთ საპონი და წყალი.</w:t>
            </w:r>
          </w:p>
        </w:tc>
      </w:tr>
      <w:tr>
        <w:tc>
          <w:tcPr/>
          <w:p>
            <w:pPr>
              <w:pStyle w:val="Compact"/>
              <w:jc w:val="left"/>
            </w:pPr>
            <w:r>
              <w:t>სადგური ცარიელია</w:t>
            </w:r>
          </w:p>
        </w:tc>
        <w:tc>
          <w:tcPr/>
          <w:p>
            <w:pPr>
              <w:pStyle w:val="Compact"/>
              <w:jc w:val="left"/>
            </w:pPr>
            <w:r>
              <w:t>შეავსეთ ან დაუყოვნებლივ აცნობეთ. ამასობაში გამოიყენეთ უახლოესი ხელსაბანი.</w:t>
            </w:r>
          </w:p>
        </w:tc>
      </w:tr>
      <w:tr>
        <w:tc>
          <w:tcPr/>
          <w:p>
            <w:pPr>
              <w:pStyle w:val="Compact"/>
              <w:jc w:val="left"/>
            </w:pPr>
            <w:r>
              <w:t>თქვენი კანი გაღიზიანებულია</w:t>
            </w:r>
          </w:p>
        </w:tc>
        <w:tc>
          <w:tcPr/>
          <w:p>
            <w:pPr>
              <w:pStyle w:val="Compact"/>
              <w:jc w:val="left"/>
            </w:pPr>
            <w:r>
              <w:t>ხელის ჰიგიენა გააგრძელეთ დამტკიცებული ალტერნატივით და მიმართეთ სამსახურებრივ ჯანმრთელობას.</w:t>
            </w:r>
          </w:p>
        </w:tc>
      </w:tr>
      <w:tr>
        <w:tc>
          <w:tcPr/>
          <w:p>
            <w:pPr>
              <w:pStyle w:val="Compact"/>
              <w:jc w:val="left"/>
            </w:pPr>
            <w:r>
              <w:t>დავალების დროს ხელთათმანი იხევს</w:t>
            </w:r>
          </w:p>
        </w:tc>
        <w:tc>
          <w:tcPr/>
          <w:p>
            <w:pPr>
              <w:pStyle w:val="Compact"/>
              <w:jc w:val="left"/>
            </w:pPr>
            <w:r>
              <w:t>მოიხსენით ხელთათმანი, შეასრულეთ ხელის ჰიგიენა და ახალი ხელთათმანი ჩაიცვით გაგრძელებამდე.</w:t>
            </w:r>
          </w:p>
        </w:tc>
      </w:tr>
    </w:tbl>
    <w:bookmarkEnd w:id="38"/>
    <w:bookmarkStart w:id="39" w:name="s11"/>
    <w:p>
      <w:pPr>
        <w:pStyle w:val="Heading2"/>
      </w:pPr>
      <w:r>
        <w:t>განსაკუთრებული სიტუაციები</w:t>
      </w:r>
    </w:p>
    <w:tbl>
      <w:tblPr>
        <w:tblStyle w:val="Table"/>
        <w:tblW w:type="auto" w:w="0"/>
        <w:tblLook w:firstRow="1" w:lastRow="0" w:firstColumn="0" w:lastColumn="0" w:noHBand="0" w:noVBand="0" w:val="0020"/>
        <w:jc w:val="start"/>
      </w:tblPr>
      <w:tblGrid>
        <w:gridCol w:w="3960"/>
        <w:gridCol w:w="3960"/>
      </w:tblGrid>
      <w:tr>
        <w:trPr>
          <w:tblHeader w:val="true"/>
        </w:trPr>
        <w:tc>
          <w:tcPr/>
          <w:p>
            <w:pPr>
              <w:pStyle w:val="Compact"/>
              <w:jc w:val="left"/>
            </w:pPr>
            <w:r>
              <w:t>სიტუაცია</w:t>
            </w:r>
          </w:p>
        </w:tc>
        <w:tc>
          <w:tcPr/>
          <w:p>
            <w:pPr>
              <w:pStyle w:val="Compact"/>
              <w:jc w:val="left"/>
            </w:pPr>
            <w:r>
              <w:t>მოქმედება</w:t>
            </w:r>
          </w:p>
        </w:tc>
      </w:tr>
      <w:tr>
        <w:tc>
          <w:tcPr/>
          <w:p>
            <w:pPr>
              <w:pStyle w:val="Compact"/>
              <w:jc w:val="left"/>
            </w:pPr>
            <w:r>
              <w:t>პაციენტები, რომლებიც ვერ ლაპარაკობენ ან ვერ აძლევენ თანხმობას მოვლაზე</w:t>
            </w:r>
          </w:p>
        </w:tc>
        <w:tc>
          <w:tcPr/>
          <w:p>
            <w:pPr>
              <w:pStyle w:val="Compact"/>
              <w:jc w:val="left"/>
            </w:pPr>
            <w:r>
              <w:t>ხუთი მომენტი ისევ მოქმედებს. არ დაელოდოთ პაციენტს ან ოჯახს, რომ სთხოვონ.</w:t>
            </w:r>
          </w:p>
        </w:tc>
      </w:tr>
      <w:tr>
        <w:tc>
          <w:tcPr/>
          <w:p>
            <w:pPr>
              <w:pStyle w:val="Compact"/>
              <w:jc w:val="left"/>
            </w:pPr>
            <w:r>
              <w:t>გადაცემაზე დაფუძნებული სიფრთხილის ზომები</w:t>
            </w:r>
          </w:p>
        </w:tc>
        <w:tc>
          <w:tcPr/>
          <w:p>
            <w:pPr>
              <w:pStyle w:val="Compact"/>
              <w:jc w:val="left"/>
            </w:pPr>
            <w:r>
              <w:t>მიჰყევით ოთახის სიფრთხილის ნიშანს. შეასრულეთ ხელის ჰიგიენა შესვლისას და გასვლისას და პერსონალური დამცავი საშუალებების მოხსნის შემდეგ [3].</w:t>
            </w:r>
          </w:p>
        </w:tc>
      </w:tr>
      <w:tr>
        <w:tc>
          <w:tcPr/>
          <w:p>
            <w:pPr>
              <w:pStyle w:val="Compact"/>
              <w:jc w:val="left"/>
            </w:pPr>
            <w:r>
              <w:t>გადაუდებელი რეანიმაცია</w:t>
            </w:r>
          </w:p>
        </w:tc>
        <w:tc>
          <w:tcPr/>
          <w:p>
            <w:pPr>
              <w:pStyle w:val="Compact"/>
              <w:jc w:val="left"/>
            </w:pPr>
            <w:r>
              <w:t>ხელის ჰიგიენა შეასრულეთ პირველივე შესაძლებლობისას, რომელიც მოვლას არ შეაფერხებს.</w:t>
            </w:r>
          </w:p>
        </w:tc>
      </w:tr>
      <w:tr>
        <w:tc>
          <w:tcPr/>
          <w:p>
            <w:pPr>
              <w:pStyle w:val="Compact"/>
              <w:jc w:val="left"/>
            </w:pPr>
            <w:r>
              <w:t>გავრცელების ან კონკრეტული მიკროორგანიზმის პროტოკოლი</w:t>
            </w:r>
          </w:p>
        </w:tc>
        <w:tc>
          <w:tcPr/>
          <w:p>
            <w:pPr>
              <w:pStyle w:val="Compact"/>
              <w:jc w:val="left"/>
            </w:pPr>
            <w:r>
              <w:t>მიჰყევით პროტოკოლს, რომელიც შეიძლება მოითხოვდეს საპონსა და წყალს იქ, სადაც ჩვეულებრივ ანტისეპტიკი გამოიყენება [3].</w:t>
            </w:r>
          </w:p>
        </w:tc>
      </w:tr>
      <w:tr>
        <w:tc>
          <w:tcPr/>
          <w:p>
            <w:pPr>
              <w:pStyle w:val="Compact"/>
              <w:jc w:val="left"/>
            </w:pPr>
            <w:r>
              <w:t>ვიზიტორები, სტუდენტები და კონტრაქტორები</w:t>
            </w:r>
          </w:p>
        </w:tc>
        <w:tc>
          <w:tcPr/>
          <w:p>
            <w:pPr>
              <w:pStyle w:val="Compact"/>
              <w:jc w:val="left"/>
            </w:pPr>
            <w:r>
              <w:t>სამუშაოს დაწყებამდე აჩვენეთ მათ სადგურები და ხუთი მომენტი.</w:t>
            </w:r>
          </w:p>
        </w:tc>
      </w:tr>
    </w:tbl>
    <w:bookmarkEnd w:id="39"/>
    <w:bookmarkStart w:id="40" w:name="s12"/>
    <w:p>
      <w:pPr>
        <w:pStyle w:val="Heading2"/>
      </w:pPr>
      <w:r>
        <w:t>ესკალაცია</w:t>
      </w:r>
    </w:p>
    <w:tbl>
      <w:tblPr>
        <w:tblStyle w:val="Table"/>
        <w:tblW w:type="auto" w:w="0"/>
        <w:tblLook w:firstRow="1" w:lastRow="0" w:firstColumn="0" w:lastColumn="0" w:noHBand="0" w:noVBand="0" w:val="0020"/>
        <w:jc w:val="start"/>
      </w:tblPr>
      <w:tblGrid>
        <w:gridCol w:w="2640"/>
        <w:gridCol w:w="2640"/>
        <w:gridCol w:w="2640"/>
      </w:tblGrid>
      <w:tr>
        <w:trPr>
          <w:tblHeader w:val="true"/>
        </w:trPr>
        <w:tc>
          <w:tcPr/>
          <w:p>
            <w:pPr>
              <w:pStyle w:val="Compact"/>
              <w:jc w:val="left"/>
            </w:pPr>
            <w:r>
              <w:t>მოვლენა</w:t>
            </w:r>
          </w:p>
        </w:tc>
        <w:tc>
          <w:tcPr/>
          <w:p>
            <w:pPr>
              <w:pStyle w:val="Compact"/>
              <w:jc w:val="left"/>
            </w:pPr>
            <w:r>
              <w:t>ინფორმირება</w:t>
            </w:r>
          </w:p>
        </w:tc>
        <w:tc>
          <w:tcPr/>
          <w:p>
            <w:pPr>
              <w:pStyle w:val="Compact"/>
              <w:jc w:val="left"/>
            </w:pPr>
            <w:r>
              <w:t>ვადა</w:t>
            </w:r>
          </w:p>
        </w:tc>
      </w:tr>
      <w:tr>
        <w:tc>
          <w:tcPr/>
          <w:p>
            <w:pPr>
              <w:pStyle w:val="Compact"/>
              <w:jc w:val="left"/>
            </w:pPr>
            <w:r>
              <w:t>ცარიელი სადგური ან არარსებული პროდუქტი</w:t>
            </w:r>
          </w:p>
        </w:tc>
        <w:tc>
          <w:tcPr/>
          <w:p>
            <w:pPr>
              <w:pStyle w:val="Compact"/>
              <w:jc w:val="left"/>
            </w:pPr>
            <w:r>
              <w:t>პალატის ან განყოფილების მენეჯერი, შემდეგ მარაგის გუნდი</w:t>
            </w:r>
          </w:p>
        </w:tc>
        <w:tc>
          <w:tcPr/>
          <w:p>
            <w:pPr>
              <w:pStyle w:val="Compact"/>
              <w:jc w:val="left"/>
            </w:pPr>
            <w:r>
              <w:t>დაუყოვნებლივ; შევსება იმავე ცვლაში</w:t>
            </w:r>
          </w:p>
        </w:tc>
      </w:tr>
      <w:tr>
        <w:tc>
          <w:tcPr/>
          <w:p>
            <w:pPr>
              <w:pStyle w:val="Compact"/>
              <w:jc w:val="left"/>
            </w:pPr>
            <w:r>
              <w:t>პროდუქტი დაწესებულებაში ხელმისაწვდომი არ არის</w:t>
            </w:r>
          </w:p>
        </w:tc>
        <w:tc>
          <w:tcPr/>
          <w:p>
            <w:pPr>
              <w:pStyle w:val="Compact"/>
              <w:jc w:val="left"/>
            </w:pPr>
            <w:r>
              <w:t>აღმასრულებელი დირექტორი ან მორიგე მენეჯერი</w:t>
            </w:r>
          </w:p>
        </w:tc>
        <w:tc>
          <w:tcPr/>
          <w:p>
            <w:pPr>
              <w:pStyle w:val="Compact"/>
              <w:jc w:val="left"/>
            </w:pPr>
            <w:r>
              <w:t>იგივე ცვლა</w:t>
            </w:r>
          </w:p>
        </w:tc>
      </w:tr>
      <w:tr>
        <w:tc>
          <w:tcPr/>
          <w:p>
            <w:pPr>
              <w:pStyle w:val="Compact"/>
              <w:jc w:val="left"/>
            </w:pPr>
            <w:r>
              <w:t>თანამშრომლის კანის რეაქცია</w:t>
            </w:r>
          </w:p>
        </w:tc>
        <w:tc>
          <w:tcPr/>
          <w:p>
            <w:pPr>
              <w:pStyle w:val="Compact"/>
              <w:jc w:val="left"/>
            </w:pPr>
            <w:r>
              <w:t>პალატის მენეჯერი და სამსახურებრივი ჯანმრთელობა</w:t>
            </w:r>
          </w:p>
        </w:tc>
        <w:tc>
          <w:tcPr/>
          <w:p>
            <w:pPr>
              <w:pStyle w:val="Compact"/>
              <w:jc w:val="left"/>
            </w:pPr>
            <w:r>
              <w:t>იმავე დღეს</w:t>
            </w:r>
          </w:p>
        </w:tc>
      </w:tr>
      <w:tr>
        <w:tc>
          <w:tcPr/>
          <w:p>
            <w:pPr>
              <w:pStyle w:val="Compact"/>
              <w:jc w:val="left"/>
            </w:pPr>
            <w:r>
              <w:t>შესრულება მიზნობრივზე დაბალია ორი ზედიზედ თვის განმავლობაში</w:t>
            </w:r>
          </w:p>
        </w:tc>
        <w:tc>
          <w:tcPr/>
          <w:p>
            <w:pPr>
              <w:pStyle w:val="Compact"/>
              <w:jc w:val="left"/>
            </w:pPr>
            <w:r>
              <w:t>IPC ხელმძღვანელი და განყოფილების მმართველობის ჯგუფი</w:t>
            </w:r>
          </w:p>
        </w:tc>
        <w:tc>
          <w:tcPr/>
          <w:p>
            <w:pPr>
              <w:pStyle w:val="Compact"/>
              <w:jc w:val="left"/>
            </w:pPr>
            <w:r>
              <w:t>მმართველობის შემდეგი შეხვედრა</w:t>
            </w:r>
          </w:p>
        </w:tc>
      </w:tr>
    </w:tbl>
    <w:bookmarkEnd w:id="40"/>
    <w:bookmarkStart w:id="41" w:name="s13"/>
    <w:p>
      <w:pPr>
        <w:pStyle w:val="Heading2"/>
      </w:pPr>
      <w:r>
        <w:t>მონიტორინგი და შესრულება</w:t>
      </w:r>
    </w:p>
    <w:p>
      <w:pPr>
        <w:pStyle w:val="FirstParagraph"/>
      </w:pPr>
      <w:r>
        <w:t>შესრულება იზომება თანამშრომლების პირდაპირი დაკვირვებით პაციენტის მოვლისას, WHO-ს დაკვირვების მეთოდით, რომელიც მორგებულია ხელის ჰიგიენის დაკვირვებითი აუდიტის ინსტრუმენტში (HH-FRM-001) [1][2]. ყოველი სივრცე ითვალისწინებს მინიმუმ 20 შესაძლებლობას თვეში. დამკვირვებლები ყოველ შესაძლებლობას აღრიცხავენ მომენტის მიხედვით და ფიქსირებენ, შესრულდა თუ არა ქმედება.</w:t>
      </w:r>
    </w:p>
    <w:p>
      <w:pPr>
        <w:pStyle w:val="BodyText"/>
      </w:pPr>
      <w:r>
        <w:rPr>
          <w:bCs/>
          <w:b/>
        </w:rPr>
        <w:t>შესრულების მაჩვენებელი (%) = შესრულებული ქმედებები ÷ დაკვირვებული შესაძლებლობები × 100 [2].</w:t>
      </w:r>
      <w:r/>
      <w:r/>
    </w:p>
    <w:tbl>
      <w:tblPr>
        <w:tblStyle w:val="Table"/>
        <w:tblW w:type="auto" w:w="0"/>
        <w:tblLook w:firstRow="1" w:lastRow="0" w:firstColumn="0" w:lastColumn="0" w:noHBand="0" w:noVBand="0" w:val="0020"/>
        <w:jc w:val="start"/>
      </w:tblPr>
      <w:tblGrid>
        <w:gridCol w:w="1320"/>
        <w:gridCol w:w="1320"/>
        <w:gridCol w:w="1320"/>
        <w:gridCol w:w="1320"/>
        <w:gridCol w:w="1320"/>
        <w:gridCol w:w="1320"/>
      </w:tblGrid>
      <w:tr>
        <w:trPr>
          <w:tblHeader w:val="true"/>
        </w:trPr>
        <w:tc>
          <w:tcPr/>
          <w:p>
            <w:pPr>
              <w:pStyle w:val="Compact"/>
              <w:jc w:val="left"/>
            </w:pPr>
            <w:r>
              <w:t>მაჩვენებელი</w:t>
            </w:r>
          </w:p>
        </w:tc>
        <w:tc>
          <w:tcPr/>
          <w:p>
            <w:pPr>
              <w:pStyle w:val="Compact"/>
              <w:jc w:val="left"/>
            </w:pPr>
            <w:r>
              <w:t>სამიზნე</w:t>
            </w:r>
          </w:p>
        </w:tc>
        <w:tc>
          <w:tcPr/>
          <w:p>
            <w:pPr>
              <w:pStyle w:val="Compact"/>
              <w:jc w:val="left"/>
            </w:pPr>
            <w:r>
              <w:t>მეთოდი</w:t>
            </w:r>
          </w:p>
        </w:tc>
        <w:tc>
          <w:tcPr/>
          <w:p>
            <w:pPr>
              <w:pStyle w:val="Compact"/>
              <w:jc w:val="left"/>
            </w:pPr>
            <w:r>
              <w:t>სიხშირე</w:t>
            </w:r>
          </w:p>
        </w:tc>
        <w:tc>
          <w:tcPr/>
          <w:p>
            <w:pPr>
              <w:pStyle w:val="Compact"/>
              <w:jc w:val="left"/>
            </w:pPr>
            <w:r>
              <w:t>პასუხისმგებელი</w:t>
            </w:r>
          </w:p>
        </w:tc>
        <w:tc>
          <w:tcPr/>
          <w:p>
            <w:pPr>
              <w:pStyle w:val="Compact"/>
              <w:jc w:val="left"/>
            </w:pPr>
            <w:r>
              <w:t>თუ მიზანი არ შესრულდა</w:t>
            </w:r>
          </w:p>
        </w:tc>
      </w:tr>
      <w:tr>
        <w:tc>
          <w:tcPr/>
          <w:p>
            <w:pPr>
              <w:pStyle w:val="Compact"/>
              <w:jc w:val="left"/>
            </w:pPr>
            <w:r>
              <w:t>ხელის ჰიგიენის შესრულება</w:t>
            </w:r>
          </w:p>
        </w:tc>
        <w:tc>
          <w:tcPr/>
          <w:p>
            <w:pPr>
              <w:pStyle w:val="Compact"/>
              <w:jc w:val="left"/>
            </w:pPr>
            <w:r>
              <w:t>შესაძლებლობების მინიმუმ 70%, დროთა განმავლობაში 90%-მდე ზრდით</w:t>
            </w:r>
          </w:p>
        </w:tc>
        <w:tc>
          <w:tcPr/>
          <w:p>
            <w:pPr>
              <w:pStyle w:val="Compact"/>
              <w:jc w:val="left"/>
            </w:pPr>
            <w:r>
              <w:t>პირდაპირი დაკვირვება, HH-FRM-001</w:t>
            </w:r>
          </w:p>
        </w:tc>
        <w:tc>
          <w:tcPr/>
          <w:p>
            <w:pPr>
              <w:pStyle w:val="Compact"/>
              <w:jc w:val="left"/>
            </w:pPr>
            <w:r>
              <w:t>ყოველთვიურად თითო სივრცეზე</w:t>
            </w:r>
          </w:p>
        </w:tc>
        <w:tc>
          <w:tcPr/>
          <w:p>
            <w:pPr>
              <w:pStyle w:val="Compact"/>
              <w:jc w:val="left"/>
            </w:pPr>
            <w:r>
              <w:t>განყოფილების მენეჯერი</w:t>
            </w:r>
          </w:p>
        </w:tc>
        <w:tc>
          <w:tcPr/>
          <w:p>
            <w:pPr>
              <w:pStyle w:val="Compact"/>
              <w:jc w:val="left"/>
            </w:pPr>
            <w:r>
              <w:t>შეათანხმეთ ქმედებები გუნდთან; განმეორებითი აუდიტი ოთხი კვირის განმავლობაში</w:t>
            </w:r>
          </w:p>
        </w:tc>
      </w:tr>
      <w:tr>
        <w:tc>
          <w:tcPr/>
          <w:p>
            <w:pPr>
              <w:pStyle w:val="Compact"/>
              <w:jc w:val="left"/>
            </w:pPr>
            <w:r>
              <w:t>სადგურის ხელმისაწვდომობა</w:t>
            </w:r>
          </w:p>
        </w:tc>
        <w:tc>
          <w:tcPr/>
          <w:p>
            <w:pPr>
              <w:pStyle w:val="Compact"/>
              <w:jc w:val="left"/>
            </w:pPr>
            <w:r>
              <w:t>სადგურების 100% შევსებულია ყოველი ცვლის დაწყებისას</w:t>
            </w:r>
          </w:p>
        </w:tc>
        <w:tc>
          <w:tcPr/>
          <w:p>
            <w:pPr>
              <w:pStyle w:val="Compact"/>
              <w:jc w:val="left"/>
            </w:pPr>
            <w:r>
              <w:t>ცვლის შემოწმება და სადგურის ჟურნალი</w:t>
            </w:r>
          </w:p>
        </w:tc>
        <w:tc>
          <w:tcPr/>
          <w:p>
            <w:pPr>
              <w:pStyle w:val="Compact"/>
              <w:jc w:val="left"/>
            </w:pPr>
            <w:r>
              <w:t>ყოველი ცვლა</w:t>
            </w:r>
          </w:p>
        </w:tc>
        <w:tc>
          <w:tcPr/>
          <w:p>
            <w:pPr>
              <w:pStyle w:val="Compact"/>
              <w:jc w:val="left"/>
            </w:pPr>
            <w:r>
              <w:t>განყოფილების მენეჯერი</w:t>
            </w:r>
          </w:p>
        </w:tc>
        <w:tc>
          <w:tcPr/>
          <w:p>
            <w:pPr>
              <w:pStyle w:val="Compact"/>
              <w:jc w:val="left"/>
            </w:pPr>
            <w:r>
              <w:t>ესკალაცია მუხლ 12-ის მიხედვით</w:t>
            </w:r>
          </w:p>
        </w:tc>
      </w:tr>
      <w:tr>
        <w:tc>
          <w:tcPr/>
          <w:p>
            <w:pPr>
              <w:pStyle w:val="Compact"/>
              <w:jc w:val="left"/>
            </w:pPr>
            <w:r>
              <w:t>თანამშრომლის კომპეტენცია</w:t>
            </w:r>
          </w:p>
        </w:tc>
        <w:tc>
          <w:tcPr/>
          <w:p>
            <w:pPr>
              <w:pStyle w:val="Compact"/>
              <w:jc w:val="left"/>
            </w:pPr>
            <w:r>
              <w:t>კლინიკური პერსონალის 100%, მიმდინარე კომპეტენციის შეფასებით</w:t>
            </w:r>
          </w:p>
        </w:tc>
        <w:tc>
          <w:tcPr/>
          <w:p>
            <w:pPr>
              <w:pStyle w:val="Compact"/>
              <w:jc w:val="left"/>
            </w:pPr>
            <w:r>
              <w:t>სწავლების ჩანაწერი</w:t>
            </w:r>
          </w:p>
        </w:tc>
        <w:tc>
          <w:tcPr/>
          <w:p>
            <w:pPr>
              <w:pStyle w:val="Compact"/>
              <w:jc w:val="left"/>
            </w:pPr>
            <w:r>
              <w:t>ყოველწლიურად</w:t>
            </w:r>
          </w:p>
        </w:tc>
        <w:tc>
          <w:tcPr/>
          <w:p>
            <w:pPr>
              <w:pStyle w:val="Compact"/>
              <w:jc w:val="left"/>
            </w:pPr>
            <w:r>
              <w:t>IPC ხელმძღვანელი</w:t>
            </w:r>
          </w:p>
        </w:tc>
        <w:tc>
          <w:tcPr/>
          <w:p>
            <w:pPr>
              <w:pStyle w:val="Compact"/>
              <w:jc w:val="left"/>
            </w:pPr>
            <w:r>
              <w:t>შეფასება მოაწყეთ დამოუკიდებელ მუშაობამდე</w:t>
            </w:r>
          </w:p>
        </w:tc>
      </w:tr>
    </w:tbl>
    <w:p>
      <w:pPr>
        <w:pStyle w:val="BodyText"/>
      </w:pPr>
      <w:r>
        <w:rPr>
          <w:iCs/>
          <w:i/>
        </w:rPr>
        <w:t>ზემოთ მოცემული მიზნები წარმოდგენილია თითოეული დაწესებულების მიერ დასამტკიცებლად. ისინი უნივერსალური მოთხოვნები არ არის; საბოლოო მიზნებს მმართველობის ჯგუფი განსაზღვრავს.</w:t>
      </w:r>
    </w:p>
    <w:p>
      <w:pPr>
        <w:pStyle w:val="BodyText"/>
      </w:pPr>
      <w:r>
        <w:rPr>
          <w:bCs/>
          <w:b/>
        </w:rPr>
        <w:t>უკუკავშირი. შედეგები თვეში ერთხელ ეცნობება გუნდს, დასახელებულია საუკეთესო და ყველაზე სუსტი სივრცეები. განყოფილების შედეგები ყოველ კვარტალში წარდგენილია მმართველობის ჯგუფისთვის.</w:t>
      </w:r>
      <w:r/>
      <w:r/>
    </w:p>
    <w:bookmarkEnd w:id="41"/>
    <w:bookmarkStart w:id="42" w:name="s14"/>
    <w:p>
      <w:pPr>
        <w:pStyle w:val="Heading2"/>
      </w:pPr>
      <w:r>
        <w:t>ჩანაწერები</w:t>
      </w:r>
    </w:p>
    <w:tbl>
      <w:tblPr>
        <w:tblStyle w:val="Table"/>
        <w:tblW w:type="auto" w:w="0"/>
        <w:tblLook w:firstRow="1" w:lastRow="0" w:firstColumn="0" w:lastColumn="0" w:noHBand="0" w:noVBand="0" w:val="0020"/>
        <w:jc w:val="start"/>
      </w:tblPr>
      <w:tblGrid>
        <w:gridCol w:w="2640"/>
        <w:gridCol w:w="2640"/>
        <w:gridCol w:w="2640"/>
      </w:tblGrid>
      <w:tr>
        <w:trPr>
          <w:tblHeader w:val="true"/>
        </w:trPr>
        <w:tc>
          <w:tcPr/>
          <w:p>
            <w:pPr>
              <w:pStyle w:val="Compact"/>
              <w:jc w:val="left"/>
            </w:pPr>
            <w:r>
              <w:t>ჩანაწერი</w:t>
            </w:r>
          </w:p>
        </w:tc>
        <w:tc>
          <w:tcPr/>
          <w:p>
            <w:pPr>
              <w:pStyle w:val="Compact"/>
              <w:jc w:val="left"/>
            </w:pPr>
            <w:r>
              <w:t>ინახება</w:t>
            </w:r>
          </w:p>
        </w:tc>
        <w:tc>
          <w:tcPr/>
          <w:p>
            <w:pPr>
              <w:pStyle w:val="Compact"/>
              <w:jc w:val="left"/>
            </w:pPr>
            <w:r>
              <w:t>შენახვის ვადა</w:t>
            </w:r>
          </w:p>
        </w:tc>
      </w:tr>
      <w:tr>
        <w:tc>
          <w:tcPr/>
          <w:p>
            <w:pPr>
              <w:pStyle w:val="Compact"/>
              <w:jc w:val="left"/>
            </w:pPr>
            <w:r>
              <w:t>ხელის ჰიგიენის დაკვირვებითი აუდიტის ინსტრუმენტი (HH-FRM-001)</w:t>
            </w:r>
          </w:p>
        </w:tc>
        <w:tc>
          <w:tcPr/>
          <w:p>
            <w:pPr>
              <w:pStyle w:val="Compact"/>
              <w:jc w:val="left"/>
            </w:pPr>
            <w:r>
              <w:t>პალატის ან განყოფილების ფაილი; შეჯამება IPC ხელმძღვანელს</w:t>
            </w:r>
          </w:p>
        </w:tc>
        <w:tc>
          <w:tcPr/>
          <w:p>
            <w:pPr>
              <w:pStyle w:val="Compact"/>
              <w:jc w:val="left"/>
            </w:pPr>
            <w:r>
              <w:t>სამი წელი</w:t>
            </w:r>
          </w:p>
        </w:tc>
      </w:tr>
      <w:tr>
        <w:tc>
          <w:tcPr/>
          <w:p>
            <w:pPr>
              <w:pStyle w:val="Compact"/>
              <w:jc w:val="left"/>
            </w:pPr>
            <w:r>
              <w:t>სადგურის შევსებისა და ცარიელი სადგურის ჟურნალი</w:t>
            </w:r>
          </w:p>
        </w:tc>
        <w:tc>
          <w:tcPr/>
          <w:p>
            <w:pPr>
              <w:pStyle w:val="Compact"/>
              <w:jc w:val="left"/>
            </w:pPr>
            <w:r>
              <w:t>პალატის ან განყოფილების ფაილი</w:t>
            </w:r>
          </w:p>
        </w:tc>
        <w:tc>
          <w:tcPr/>
          <w:p>
            <w:pPr>
              <w:pStyle w:val="Compact"/>
              <w:jc w:val="left"/>
            </w:pPr>
            <w:r>
              <w:t>ერთი წელი</w:t>
            </w:r>
          </w:p>
        </w:tc>
      </w:tr>
      <w:tr>
        <w:tc>
          <w:tcPr/>
          <w:p>
            <w:pPr>
              <w:pStyle w:val="Compact"/>
              <w:jc w:val="left"/>
            </w:pPr>
            <w:r>
              <w:t>სწავლებისა და კომპეტენციის ჩანაწერები</w:t>
            </w:r>
          </w:p>
        </w:tc>
        <w:tc>
          <w:tcPr/>
          <w:p>
            <w:pPr>
              <w:pStyle w:val="Compact"/>
              <w:jc w:val="left"/>
            </w:pPr>
            <w:r>
              <w:t>თანამშრომლის სწავლების ფაილი</w:t>
            </w:r>
          </w:p>
        </w:tc>
        <w:tc>
          <w:tcPr/>
          <w:p>
            <w:pPr>
              <w:pStyle w:val="Compact"/>
              <w:jc w:val="left"/>
            </w:pPr>
            <w:r>
              <w:t>დასაქმება და კიდევ ექვსი წელი</w:t>
            </w:r>
          </w:p>
        </w:tc>
      </w:tr>
      <w:tr>
        <w:tc>
          <w:tcPr/>
          <w:p>
            <w:pPr>
              <w:pStyle w:val="Compact"/>
              <w:jc w:val="left"/>
            </w:pPr>
            <w:r>
              <w:t>ინციდენტის ანგარიშები ხელის ჰიგიენასთან ან კანის რეაქციებთან დაკავშირებით</w:t>
            </w:r>
          </w:p>
        </w:tc>
        <w:tc>
          <w:tcPr/>
          <w:p>
            <w:pPr>
              <w:pStyle w:val="Compact"/>
              <w:jc w:val="left"/>
            </w:pPr>
            <w:r>
              <w:t>ინციდენტების მართვის სისტემა</w:t>
            </w:r>
          </w:p>
        </w:tc>
        <w:tc>
          <w:tcPr/>
          <w:p>
            <w:pPr>
              <w:pStyle w:val="Compact"/>
              <w:jc w:val="left"/>
            </w:pPr>
            <w:r>
              <w:t>დაწესებულების შენახვის პოლიტიკით განსაზღვრული</w:t>
            </w:r>
          </w:p>
        </w:tc>
      </w:tr>
    </w:tbl>
    <w:bookmarkEnd w:id="42"/>
    <w:bookmarkStart w:id="43" w:name="s15"/>
    <w:p>
      <w:pPr>
        <w:pStyle w:val="Heading2"/>
      </w:pPr>
      <w:r>
        <w:t>სწავლება და კომპეტენცია</w:t>
      </w:r>
    </w:p>
    <w:p>
      <w:pPr>
        <w:numPr>
          <w:ilvl w:val="0"/>
          <w:numId w:val="1009"/>
        </w:numPr>
        <w:pStyle w:val="Compact"/>
      </w:pPr>
      <w:r>
        <w:rPr>
          <w:bCs/>
          <w:b/>
        </w:rPr>
        <w:t>ინდუქცია: დამოუკიდებელ მუშაობამდე. მოიცავს ხუთ მომენტს, ორივე ტექნიკას, ხელთათმანების წესებსა და სადგურების მდებარეობას.</w:t>
      </w:r>
      <w:r/>
      <w:r/>
    </w:p>
    <w:p>
      <w:pPr>
        <w:numPr>
          <w:ilvl w:val="0"/>
          <w:numId w:val="1009"/>
        </w:numPr>
        <w:pStyle w:val="Compact"/>
      </w:pPr>
      <w:r>
        <w:rPr>
          <w:bCs/>
          <w:b/>
        </w:rPr>
        <w:t>ყოველწლიური კომპეტენცია: ტექნიკის პირდაპირი დაკვირვება და მოკლე ცოდნის შემოწმება.</w:t>
      </w:r>
      <w:r/>
      <w:r/>
    </w:p>
    <w:p>
      <w:pPr>
        <w:numPr>
          <w:ilvl w:val="0"/>
          <w:numId w:val="1009"/>
        </w:numPr>
        <w:pStyle w:val="Compact"/>
      </w:pPr>
      <w:r>
        <w:rPr>
          <w:bCs/>
          <w:b/>
        </w:rPr>
        <w:t>განახლება: აუდიტის ნებისმიერი შედეგის შემდეგ მიზნობრივზე დაბლა და ამ პროცედურაში ნებისმიერი ცვლილების შემდეგ.</w:t>
      </w:r>
      <w:r/>
      <w:r/>
    </w:p>
    <w:bookmarkEnd w:id="43"/>
    <w:bookmarkStart w:id="44" w:name="s16"/>
    <w:p>
      <w:pPr>
        <w:pStyle w:val="Heading2"/>
      </w:pPr>
      <w:r>
        <w:t>დაკავშირებული დოკუმენტები</w:t>
      </w:r>
    </w:p>
    <w:tbl>
      <w:tblPr>
        <w:tblStyle w:val="Table"/>
        <w:tblW w:type="auto" w:w="0"/>
        <w:tblLook w:firstRow="1" w:lastRow="0" w:firstColumn="0" w:lastColumn="0" w:noHBand="0" w:noVBand="0" w:val="0020"/>
        <w:jc w:val="start"/>
      </w:tblPr>
      <w:tblGrid>
        <w:gridCol w:w="2640"/>
        <w:gridCol w:w="2640"/>
        <w:gridCol w:w="2640"/>
      </w:tblGrid>
      <w:tr>
        <w:trPr>
          <w:tblHeader w:val="true"/>
        </w:trPr>
        <w:tc>
          <w:tcPr/>
          <w:p>
            <w:pPr>
              <w:pStyle w:val="Compact"/>
              <w:jc w:val="left"/>
            </w:pPr>
            <w:r>
              <w:t>ID</w:t>
            </w:r>
          </w:p>
        </w:tc>
        <w:tc>
          <w:tcPr/>
          <w:p>
            <w:pPr>
              <w:pStyle w:val="Compact"/>
              <w:jc w:val="left"/>
            </w:pPr>
            <w:r>
              <w:t>სათაური</w:t>
            </w:r>
          </w:p>
        </w:tc>
        <w:tc>
          <w:tcPr/>
          <w:p>
            <w:pPr>
              <w:pStyle w:val="Compact"/>
              <w:jc w:val="left"/>
            </w:pPr>
            <w:r>
              <w:t>კავშირი</w:t>
            </w:r>
          </w:p>
        </w:tc>
      </w:tr>
      <w:tr>
        <w:tc>
          <w:tcPr/>
          <w:p>
            <w:pPr>
              <w:pStyle w:val="Compact"/>
              <w:jc w:val="left"/>
            </w:pPr>
            <w:r>
              <w:t>HH-POL-001</w:t>
            </w:r>
          </w:p>
        </w:tc>
        <w:tc>
          <w:tcPr/>
          <w:p>
            <w:pPr>
              <w:pStyle w:val="Compact"/>
              <w:jc w:val="left"/>
            </w:pPr>
            <w:r>
              <w:t>ხელის ჰიგიენის პოლიტიკა</w:t>
            </w:r>
          </w:p>
        </w:tc>
        <w:tc>
          <w:tcPr/>
          <w:p>
            <w:pPr>
              <w:pStyle w:val="Compact"/>
              <w:jc w:val="left"/>
            </w:pPr>
            <w:r>
              <w:t>არეგულირებს ამ პროცედურას</w:t>
            </w:r>
          </w:p>
        </w:tc>
      </w:tr>
      <w:tr>
        <w:tc>
          <w:tcPr/>
          <w:p>
            <w:pPr>
              <w:pStyle w:val="Compact"/>
              <w:jc w:val="left"/>
            </w:pPr>
            <w:r>
              <w:t>HH-FRM-001</w:t>
            </w:r>
          </w:p>
        </w:tc>
        <w:tc>
          <w:tcPr/>
          <w:p>
            <w:pPr>
              <w:pStyle w:val="Compact"/>
              <w:jc w:val="left"/>
            </w:pPr>
            <w:r>
              <w:t>ხელის ჰიგიენის დაკვირვებითი აუდიტის ინსტრუმენტი</w:t>
            </w:r>
          </w:p>
        </w:tc>
        <w:tc>
          <w:tcPr/>
          <w:p>
            <w:pPr>
              <w:pStyle w:val="Compact"/>
              <w:jc w:val="left"/>
            </w:pPr>
            <w:r>
              <w:t>აუდიტს აღრიცხავს მუხლ 13-ის მიხედვით</w:t>
            </w:r>
          </w:p>
        </w:tc>
      </w:tr>
      <w:tr>
        <w:tc>
          <w:tcPr/>
          <w:p>
            <w:pPr>
              <w:pStyle w:val="Compact"/>
              <w:jc w:val="left"/>
            </w:pPr>
            <w:r>
              <w:t>IPC-POL-001</w:t>
            </w:r>
          </w:p>
        </w:tc>
        <w:tc>
          <w:tcPr/>
          <w:p>
            <w:pPr>
              <w:pStyle w:val="Compact"/>
              <w:jc w:val="left"/>
            </w:pPr>
            <w:r>
              <w:t>ინფექციების პრევენციისა და კონტროლის პროგრამა</w:t>
            </w:r>
          </w:p>
        </w:tc>
        <w:tc>
          <w:tcPr/>
          <w:p>
            <w:pPr>
              <w:pStyle w:val="Compact"/>
              <w:jc w:val="left"/>
            </w:pPr>
            <w:r>
              <w:t>განსაზღვრავს უფრო ფართო პროგრამას, რომლის ნაწილიცაა ეს პროცედურა</w:t>
            </w:r>
          </w:p>
        </w:tc>
      </w:tr>
    </w:tbl>
    <w:bookmarkEnd w:id="44"/>
    <w:bookmarkStart w:id="45" w:name="s17"/>
    <w:p>
      <w:pPr>
        <w:pStyle w:val="Heading2"/>
      </w:pPr>
      <w:r>
        <w:t>წყაროები</w:t>
      </w:r>
    </w:p>
    <w:p>
      <w:pPr>
        <w:numPr>
          <w:ilvl w:val="0"/>
          <w:numId w:val="1010"/>
        </w:numPr>
        <w:pStyle w:val="Compact"/>
      </w:pPr>
      <w:r>
        <w:t>World Health Organization. WHO Guidelines on Hand Hygiene in Health Care: First Global Patient Safety Challenge Clean Care is Safer Care. Geneva: WHO; 2009. Available from: https://www.who.int/publications-detail-redirect/9789241597906</w:t>
      </w:r>
      <w:r/>
      <w:r>
        <w:rPr>
          <w:iCs/>
          <w:i/>
        </w:rPr>
      </w:r>
      <w:r/>
      <w:r/>
    </w:p>
    <w:p>
      <w:pPr>
        <w:numPr>
          <w:ilvl w:val="0"/>
          <w:numId w:val="1010"/>
        </w:numPr>
        <w:pStyle w:val="Compact"/>
      </w:pPr>
      <w:r>
        <w:t>Pittet D, Hugonnet S, Harbarth S, Mourouga P, Sauvan V, Touveneau S, et al. Effectiveness of a hospital-wide programme to improve compliance with hand hygiene. Lancet. 2000;356(9238):1307–12. PubMed: https://pubmed.ncbi.nlm.nih.gov/11073019/</w:t>
      </w:r>
      <w:r/>
      <w:r>
        <w:rPr>
          <w:iCs/>
          <w:i/>
        </w:rPr>
      </w:r>
      <w:r/>
      <w:r/>
    </w:p>
    <w:p>
      <w:pPr>
        <w:numPr>
          <w:ilvl w:val="0"/>
          <w:numId w:val="1010"/>
        </w:numPr>
        <w:pStyle w:val="Compact"/>
      </w:pPr>
      <w:r>
        <w:t>Boyce JM, Pittet D; Healthcare Infection Control Practices Advisory Committee; HICPAC/SHEA/APIC/IDSA Hand Hygiene Task Force. Guideline for hand hygiene in health-care settings. MMWR Recomm Rep. 2002;51(RR-16):1–45. Available from: https://www.cdc.gov/mmwr/PDF/rr/rr5116.pdf</w:t>
      </w:r>
      <w:r/>
      <w:r>
        <w:rPr>
          <w:iCs/>
          <w:i/>
        </w:rPr>
      </w:r>
      <w:r/>
      <w:r/>
    </w:p>
    <w:bookmarkEnd w:id="45"/>
    <w:bookmarkStart w:id="46" w:name="s18"/>
    <w:p>
      <w:pPr>
        <w:pStyle w:val="Heading2"/>
      </w:pPr>
      <w:r>
        <w:t>ცვლილებების ისტორია</w:t>
      </w:r>
    </w:p>
    <w:tbl>
      <w:tblPr>
        <w:tblStyle w:val="Table"/>
        <w:tblW w:type="auto" w:w="0"/>
        <w:tblLook w:firstRow="1" w:lastRow="0" w:firstColumn="0" w:lastColumn="0" w:noHBand="0" w:noVBand="0" w:val="0020"/>
        <w:jc w:val="start"/>
      </w:tblPr>
      <w:tblGrid>
        <w:gridCol w:w="1980"/>
        <w:gridCol w:w="1980"/>
        <w:gridCol w:w="1980"/>
        <w:gridCol w:w="1980"/>
      </w:tblGrid>
      <w:tr>
        <w:trPr>
          <w:tblHeader w:val="true"/>
        </w:trPr>
        <w:tc>
          <w:tcPr/>
          <w:p>
            <w:pPr>
              <w:pStyle w:val="Compact"/>
              <w:jc w:val="left"/>
            </w:pPr>
            <w:r>
              <w:t>ვერსია</w:t>
            </w:r>
          </w:p>
        </w:tc>
        <w:tc>
          <w:tcPr/>
          <w:p>
            <w:pPr>
              <w:pStyle w:val="Compact"/>
              <w:jc w:val="left"/>
            </w:pPr>
            <w:r>
              <w:t>თარიღი</w:t>
            </w:r>
          </w:p>
        </w:tc>
        <w:tc>
          <w:tcPr/>
          <w:p>
            <w:pPr>
              <w:pStyle w:val="Compact"/>
              <w:jc w:val="left"/>
            </w:pPr>
            <w:r>
              <w:t>ცვლილებების შეჯამება</w:t>
            </w:r>
          </w:p>
        </w:tc>
        <w:tc>
          <w:tcPr/>
          <w:p>
            <w:pPr>
              <w:pStyle w:val="Compact"/>
              <w:jc w:val="left"/>
            </w:pPr>
            <w:r>
              <w:t>დაამტკიცა</w:t>
            </w:r>
          </w:p>
        </w:tc>
      </w:tr>
      <w:tr>
        <w:tc>
          <w:tcPr/>
          <w:p>
            <w:pPr>
              <w:pStyle w:val="Compact"/>
              <w:jc w:val="left"/>
            </w:pPr>
            <w:r>
              <w:t>1.0</w:t>
            </w:r>
          </w:p>
        </w:tc>
        <w:tc>
          <w:tcPr/>
          <w:p>
            <w:pPr>
              <w:pStyle w:val="Compact"/>
              <w:jc w:val="left"/>
            </w:pPr>
            <w:r>
              <w:t xml:space="preserve"> </w:t>
            </w:r>
          </w:p>
        </w:tc>
        <w:tc>
          <w:tcPr/>
          <w:p>
            <w:pPr>
              <w:pStyle w:val="Compact"/>
              <w:jc w:val="left"/>
            </w:pPr>
            <w:r>
              <w:t>პირველი დამტკიცებული ვერსია.</w:t>
            </w:r>
          </w:p>
        </w:tc>
        <w:tc>
          <w:tcPr/>
          <w:p>
            <w:pPr>
              <w:pStyle w:val="Compact"/>
              <w:jc w:val="left"/>
            </w:pPr>
            <w:r>
              <w:t>ASF ექსპერტთა კომიტეტი</w:t>
            </w:r>
          </w:p>
        </w:tc>
      </w:tr>
      <w:tr>
        <w:tc>
          <w:tcPr/>
          <w:p>
            <w:pPr>
              <w:pStyle w:val="Compact"/>
              <w:jc w:val="left"/>
            </w:pPr>
            <w:r>
              <w:t>1.1</w:t>
            </w:r>
          </w:p>
        </w:tc>
        <w:tc>
          <w:tcPr/>
          <w:p>
            <w:pPr>
              <w:pStyle w:val="Compact"/>
              <w:jc w:val="left"/>
            </w:pPr>
            <w:r>
              <w:t xml:space="preserve"> </w:t>
            </w:r>
          </w:p>
        </w:tc>
        <w:tc>
          <w:tcPr/>
          <w:p>
            <w:pPr>
              <w:pStyle w:val="Compact"/>
              <w:jc w:val="left"/>
            </w:pPr>
            <w:r>
              <w:t>გარდაქმნილია ASF SOP ფორმატზე. დამატებულია მთავარი დებულებები, პასუხისმგებლობების მატრიცა, გაზომვის ფორმულა, უკუკავშირი, დანომრილი ცნობარები და დამტკიცების ბლოკი.</w:t>
            </w:r>
          </w:p>
        </w:tc>
        <w:tc>
          <w:tcPr/>
          <w:p>
            <w:pPr>
              <w:pStyle w:val="Compact"/>
              <w:jc w:val="left"/>
            </w:pPr>
            <w:r>
              <w:t xml:space="preserve"> </w:t>
            </w:r>
          </w:p>
        </w:tc>
      </w:tr>
    </w:tbl>
    <w:bookmarkEnd w:id="46"/>
    <w:bookmarkStart w:id="47" w:name="s19"/>
    <w:p>
      <w:pPr>
        <w:pStyle w:val="Heading2"/>
      </w:pPr>
      <w:r>
        <w:t>დამტკიცება</w:t>
      </w:r>
    </w:p>
    <w:tbl>
      <w:tblPr>
        <w:tblStyle w:val="Table"/>
        <w:tblW w:type="auto" w:w="0"/>
        <w:tblLook w:firstRow="1" w:lastRow="0" w:firstColumn="0" w:lastColumn="0" w:noHBand="0" w:noVBand="0" w:val="0020"/>
        <w:jc w:val="start"/>
      </w:tblPr>
      <w:tblGrid>
        <w:gridCol w:w="1980"/>
        <w:gridCol w:w="1980"/>
        <w:gridCol w:w="1980"/>
        <w:gridCol w:w="1980"/>
      </w:tblGrid>
      <w:tr>
        <w:trPr>
          <w:tblHeader w:val="true"/>
        </w:trPr>
        <w:tc>
          <w:tcPr/>
          <w:p>
            <w:pPr>
              <w:pStyle w:val="Compact"/>
              <w:jc w:val="left"/>
            </w:pPr>
            <w:r>
              <w:t>როლი</w:t>
            </w:r>
          </w:p>
        </w:tc>
        <w:tc>
          <w:tcPr/>
          <w:p>
            <w:pPr>
              <w:pStyle w:val="Compact"/>
              <w:jc w:val="left"/>
            </w:pPr>
            <w:r>
              <w:t>სახელი</w:t>
            </w:r>
          </w:p>
        </w:tc>
        <w:tc>
          <w:tcPr/>
          <w:p>
            <w:pPr>
              <w:pStyle w:val="Compact"/>
              <w:jc w:val="left"/>
            </w:pPr>
            <w:r>
              <w:t>ხელმოწერა</w:t>
            </w:r>
          </w:p>
        </w:tc>
        <w:tc>
          <w:tcPr/>
          <w:p>
            <w:pPr>
              <w:pStyle w:val="Compact"/>
              <w:jc w:val="left"/>
            </w:pPr>
            <w:r>
              <w:t>თარიღი</w:t>
            </w:r>
          </w:p>
        </w:tc>
      </w:tr>
      <w:tr>
        <w:tc>
          <w:tcPr/>
          <w:p>
            <w:pPr>
              <w:pStyle w:val="Compact"/>
              <w:jc w:val="left"/>
            </w:pPr>
            <w:r>
              <w:t>მომზადებულია: IPC ხელმძღვანელის მიერ</w:t>
            </w:r>
          </w:p>
        </w:tc>
        <w:tc>
          <w:tcPr/>
          <w:p>
            <w:pPr>
              <w:pStyle w:val="Compact"/>
              <w:jc w:val="left"/>
            </w:pPr>
            <w:r>
              <w:t xml:space="preserve"> </w:t>
            </w:r>
          </w:p>
        </w:tc>
        <w:tc>
          <w:tcPr/>
          <w:p>
            <w:pPr>
              <w:pStyle w:val="Compact"/>
              <w:jc w:val="left"/>
            </w:pPr>
            <w:r>
              <w:t xml:space="preserve"> </w:t>
            </w:r>
          </w:p>
        </w:tc>
        <w:tc>
          <w:tcPr/>
          <w:p>
            <w:pPr>
              <w:pStyle w:val="Compact"/>
              <w:jc w:val="left"/>
            </w:pPr>
            <w:r>
              <w:t xml:space="preserve"> </w:t>
            </w:r>
          </w:p>
        </w:tc>
      </w:tr>
      <w:tr>
        <w:tc>
          <w:tcPr/>
          <w:p>
            <w:pPr>
              <w:pStyle w:val="Compact"/>
              <w:jc w:val="left"/>
            </w:pPr>
            <w:r>
              <w:t>განიხილა: კლინიკურმა დირექტორმა</w:t>
            </w:r>
          </w:p>
        </w:tc>
        <w:tc>
          <w:tcPr/>
          <w:p>
            <w:pPr>
              <w:pStyle w:val="Compact"/>
              <w:jc w:val="left"/>
            </w:pPr>
            <w:r>
              <w:t xml:space="preserve"> </w:t>
            </w:r>
          </w:p>
        </w:tc>
        <w:tc>
          <w:tcPr/>
          <w:p>
            <w:pPr>
              <w:pStyle w:val="Compact"/>
              <w:jc w:val="left"/>
            </w:pPr>
            <w:r>
              <w:t xml:space="preserve"> </w:t>
            </w:r>
          </w:p>
        </w:tc>
        <w:tc>
          <w:tcPr/>
          <w:p>
            <w:pPr>
              <w:pStyle w:val="Compact"/>
              <w:jc w:val="left"/>
            </w:pPr>
            <w:r>
              <w:t xml:space="preserve"> </w:t>
            </w:r>
          </w:p>
        </w:tc>
      </w:tr>
      <w:tr>
        <w:tc>
          <w:tcPr/>
          <w:p>
            <w:pPr>
              <w:pStyle w:val="Compact"/>
              <w:jc w:val="left"/>
            </w:pPr>
            <w:r>
              <w:t>დაამტკიცა: აღმასრულებელმა დირექტორმა ან დირექტორმა</w:t>
            </w:r>
          </w:p>
        </w:tc>
        <w:tc>
          <w:tcPr/>
          <w:p>
            <w:pPr>
              <w:pStyle w:val="Compact"/>
              <w:jc w:val="left"/>
            </w:pPr>
            <w:r>
              <w:t xml:space="preserve"> </w:t>
            </w:r>
          </w:p>
        </w:tc>
        <w:tc>
          <w:tcPr/>
          <w:p>
            <w:pPr>
              <w:pStyle w:val="Compact"/>
              <w:jc w:val="left"/>
            </w:pPr>
            <w:r>
              <w:t xml:space="preserve"> </w:t>
            </w:r>
          </w:p>
        </w:tc>
        <w:tc>
          <w:tcPr/>
          <w:p>
            <w:pPr>
              <w:pStyle w:val="Compact"/>
              <w:jc w:val="left"/>
            </w:pPr>
            <w:r>
              <w:t xml:space="preserve"> </w:t>
            </w:r>
          </w:p>
        </w:tc>
      </w:tr>
    </w:tbl>
    <w:bookmarkEnd w:id="47"/>
    <w:bookmarkStart w:id="48" w:name="annex-a"/>
    <w:p>
      <w:pPr>
        <w:pStyle w:val="Heading2"/>
      </w:pPr>
      <w:r>
        <w:t>დანართი A. აუდიტის ჩანაწერი</w:t>
      </w:r>
    </w:p>
    <w:p>
      <w:pPr>
        <w:pStyle w:val="FirstParagraph"/>
      </w:pPr>
      <w:r>
        <w:t>ამ ჩანაწერს გამოიყენებთ დაკვირვების თითოეული სესიისთვის (HH-FRM-001). ჩაწერეთ თითო ხაზი თითო შესაძლებლობაზე. შეიყვანეთ მომენტი (1-დან 5-მდე) და შესრულდა თუ არა ქმედება (Y ან N).</w:t>
      </w:r>
    </w:p>
    <w:tbl>
      <w:tblPr>
        <w:tblStyle w:val="Table"/>
        <w:tblW w:type="auto" w:w="0"/>
        <w:tblLook w:firstRow="1" w:lastRow="0" w:firstColumn="0" w:lastColumn="0" w:noHBand="0" w:noVBand="0" w:val="0020"/>
        <w:jc w:val="start"/>
      </w:tblPr>
      <w:tblGrid>
        <w:gridCol w:w="1131"/>
        <w:gridCol w:w="1131"/>
        <w:gridCol w:w="1131"/>
        <w:gridCol w:w="1131"/>
        <w:gridCol w:w="1131"/>
        <w:gridCol w:w="1131"/>
        <w:gridCol w:w="1131"/>
      </w:tblGrid>
      <w:tr>
        <w:trPr>
          <w:tblHeader w:val="true"/>
        </w:trPr>
        <w:tc>
          <w:tcPr/>
          <w:p>
            <w:pPr>
              <w:pStyle w:val="Compact"/>
              <w:jc w:val="left"/>
            </w:pPr>
            <w:r>
              <w:t>თარიღი</w:t>
            </w:r>
          </w:p>
        </w:tc>
        <w:tc>
          <w:tcPr/>
          <w:p>
            <w:pPr>
              <w:pStyle w:val="Compact"/>
              <w:jc w:val="left"/>
            </w:pPr>
            <w:r>
              <w:t>სფერო</w:t>
            </w:r>
          </w:p>
        </w:tc>
        <w:tc>
          <w:tcPr/>
          <w:p>
            <w:pPr>
              <w:pStyle w:val="Compact"/>
              <w:jc w:val="left"/>
            </w:pPr>
            <w:r>
              <w:t>დამკვირვებელი (ინიციალები)</w:t>
            </w:r>
          </w:p>
        </w:tc>
        <w:tc>
          <w:tcPr/>
          <w:p>
            <w:pPr>
              <w:pStyle w:val="Compact"/>
              <w:jc w:val="left"/>
            </w:pPr>
            <w:r>
              <w:t>მომენტი (1–5)</w:t>
            </w:r>
          </w:p>
        </w:tc>
        <w:tc>
          <w:tcPr/>
          <w:p>
            <w:pPr>
              <w:pStyle w:val="Compact"/>
              <w:jc w:val="left"/>
            </w:pPr>
            <w:r>
              <w:t>შესრულდა (Y / N)</w:t>
            </w:r>
          </w:p>
        </w:tc>
        <w:tc>
          <w:tcPr/>
          <w:p>
            <w:pPr>
              <w:pStyle w:val="Compact"/>
              <w:jc w:val="left"/>
            </w:pPr>
            <w:r>
              <w:t>მეთოდი (R = ანტისეპტიკი, S = საპონი)</w:t>
            </w:r>
          </w:p>
        </w:tc>
        <w:tc>
          <w:tcPr/>
          <w:p>
            <w:pPr>
              <w:pStyle w:val="Compact"/>
              <w:jc w:val="left"/>
            </w:pPr>
            <w:r>
              <w:t>კომენტარი</w:t>
            </w: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შესაძლებლობები სულ</w:t>
            </w:r>
          </w:p>
        </w:tc>
        <w:tc>
          <w:tcPr/>
          <w:p>
            <w:pPr>
              <w:pStyle w:val="Compact"/>
            </w:pPr>
          </w:p>
        </w:tc>
        <w:tc>
          <w:tcPr/>
          <w:p>
            <w:pPr>
              <w:pStyle w:val="Compact"/>
              <w:jc w:val="left"/>
            </w:pPr>
            <w:r>
              <w:t>სულ შესრულებული</w:t>
            </w:r>
          </w:p>
        </w:tc>
        <w:tc>
          <w:tcPr/>
          <w:p>
            <w:pPr>
              <w:pStyle w:val="Compact"/>
            </w:pPr>
          </w:p>
        </w:tc>
        <w:tc>
          <w:tcPr/>
          <w:p>
            <w:pPr>
              <w:pStyle w:val="Compact"/>
            </w:pPr>
          </w:p>
        </w:tc>
        <w:tc>
          <w:tcPr/>
          <w:p>
            <w:pPr>
              <w:pStyle w:val="Compact"/>
            </w:pPr>
          </w:p>
        </w:tc>
        <w:tc>
          <w:tcPr/>
          <w:p>
            <w:pPr>
              <w:pStyle w:val="Compact"/>
            </w:pPr>
          </w:p>
        </w:tc>
      </w:tr>
      <w:tr>
        <w:tc>
          <w:tcPr/>
          <w:p>
            <w:pPr>
              <w:pStyle w:val="Compact"/>
              <w:jc w:val="left"/>
            </w:pPr>
            <w:r>
              <w:t>შესრულების მაჩვენებელი (შესრულებული ÷ შესაძლებლობები × 100)</w:t>
            </w:r>
          </w:p>
        </w:tc>
        <w:tc>
          <w:tcPr>
            <w:gridSpan w:val="4"/>
          </w:tcPr>
          <w:p>
            <w:pPr>
              <w:pStyle w:val="Compact"/>
              <w:jc w:val="left"/>
            </w:pPr>
            <w:r>
              <w:t xml:space="preserve"> %</w:t>
            </w:r>
          </w:p>
        </w:tc>
        <w:tc>
          <w:tcPr/>
          <w:p>
            <w:pPr>
              <w:pStyle w:val="Compact"/>
            </w:pPr>
          </w:p>
        </w:tc>
        <w:tc>
          <w:tcPr/>
          <w:p>
            <w:pPr>
              <w:pStyle w:val="Compact"/>
            </w:pPr>
          </w:p>
        </w:tc>
      </w:tr>
    </w:tbl>
    <w:bookmarkEnd w:id="48"/>
    <w:bookmarkStart w:id="50" w:name="annex-c"/>
    <w:p>
      <w:pPr>
        <w:pStyle w:val="Heading2"/>
      </w:pPr>
      <w:r>
        <w:t>დანართი B. ხუთი მომენტი</w:t>
      </w:r>
    </w:p>
    <w:p>
      <w:pPr>
        <w:pStyle w:val="FirstParagraph"/>
      </w:pPr>
      <w:r>
        <w:t>ხუთი მომენტი ერთ ხედში აჯამებს მუხლს 9.1. ხელის ჰიგიენა სავალდებულოა ყოველ მომენტში, როგორც აღწერილია მუხლში 9.1 და დაფუძნებულია WHO-ს რეკომენდაციაზე [1].</w:t>
      </w:r>
    </w:p>
    <w:p>
      <w:pPr>
        <w:pStyle w:val="BodyText"/>
      </w:pPr>
      <w:r>
        <w:t>სურათი B.1 ხელის ჰიგიენის ხუთი მომენტი. წყარო: WHO (2009) [1].</w:t>
      </w:r>
    </w:p>
    <w:bookmarkEnd w:id="50"/>
    <w:sectPr>
      <w:headerReference w:type="default" r:id="rId9"/>
      <w:footerReference w:type="default" r:id="rId10"/>
      <w:pgSz w:w="11906" w:h="16838"/>
      <w:pgMar w:left="1134" w:right="1134" w:top="1020" w:bottom="10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 w:numId="1007">
    <w:abstractNumId w:val="991"/>
  </w:num>
  <w:num w:numId="1008">
    <w:abstractNumId w:val="991"/>
  </w:num>
  <w:num w:numId="1009">
    <w:abstractNumId w:val="991"/>
  </w:num>
  <w:num w:numId="1010">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jc w:val="center"/>
      <w:spacing w:after="0" w:before="300"/>
    </w:pPr>
    <w:rPr>
      <w:sz w:val="20"/>
      <w:szCs w:val="20"/>
      <w:b/>
      <w:color w:val="345A8A"/>
      &gt;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2026-10-29T09:46:03Z</dcterms:created>
  <dcterms:modified xsi:type="dcterms:W3CDTF">2026-10-29T09:46:03Z</dcterms:modified>
</cp:coreProperties>
</file>

<file path=docProps/custom.xml><?xml version="1.0" encoding="utf-8"?>
<Properties xmlns="http://schemas.openxmlformats.org/officeDocument/2006/custom-properties" xmlns:vt="http://schemas.openxmlformats.org/officeDocument/2006/docPropsVTypes"/>
</file>