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hmg-frm-002-გაგების-შემოწმების-ჩანაწერი"/>
    <w:p>
      <w:pPr>
        <w:pStyle w:val="Heading1"/>
      </w:pPr>
      <w:r>
        <w:t xml:space="preserve">HMG-FRM-002: გაგების შემოწმების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HMG-FRM-002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25.2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პაციენტის მიერ თავისი მოვლისა და ჯანდაცვის სისტემის გაგების უკუკავშირით (teach-back) შემოწმებას.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სთხოვეთ პაციენტს, საკუთარი სიტყვებით აუხსნას მოვლა.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აღნუსხეთ, რა გაიგო და რა არ გაიგო.</w:t>
      </w:r>
    </w:p>
    <w:p>
      <w:pPr>
        <w:numPr>
          <w:ilvl w:val="0"/>
          <w:numId w:val="1001"/>
        </w:numPr>
        <w:pStyle w:val="Compact"/>
      </w:pPr>
      <w:r>
        <w:t xml:space="preserve">ხელახლა აუხსენით, რაც არ გაიგო, და კვლავ შეამოწმეთ.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ახსნა (მარტივი ენა, გამოყენებული ენა)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უკუკავშირი: გაიგო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ჯანდაცვის სისტემის ნაბიჯების ახსნა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საჭიროებისამებრ ხელახლა აიხსნა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კლინიცისტი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და IOM-ის Global Competency Standards for Refugee and Migrant Health-ს და WHO mhGAP Intervention Guide-ს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Refugee &amp; Migrant Health — Endorsement Course</w:t>
        </w:r>
      </w:hyperlink>
      <w:r>
        <w:t xml:space="preserve"> </w:t>
      </w:r>
      <w:r>
        <w:t xml:space="preserve">(H-09)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5/" TargetMode="External"/><Relationship Id="rId23" Type="http://schemas.openxmlformats.org/officeDocument/2006/relationships/hyperlink" Target="/ka/standards/standard-25/#c25-2" TargetMode="External"/><Relationship Id="rId29" Type="http://schemas.openxmlformats.org/officeDocument/2006/relationships/hyperlink" Target="https://academy.gmj.ge/courses/asf-h-09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5/" TargetMode="External"/><Relationship Id="rId23" Type="http://schemas.openxmlformats.org/officeDocument/2006/relationships/hyperlink" Target="/ka/standards/standard-25/#c25-2" TargetMode="External"/><Relationship Id="rId29" Type="http://schemas.openxmlformats.org/officeDocument/2006/relationships/hyperlink" Target="https://academy.gmj.ge/courses/asf-h-09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2026-11-07T01:19:56Z</dcterms:created>
  <dcterms:modified xsi:type="dcterms:W3CDTF">2026-11-07T01:19:56Z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