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HMG-POL-004: მტკიცებულებები ლტოლვილისა და მიგრანტის ჯანმრთელობისთვის</w:t>
      </w:r>
    </w:p>
    <w:p>
      <w:pPr>
        <w:pStyle w:val="FirstParagraph"/>
      </w:pPr>
      <w:hyperlink r:id="rId20">
        <w:r>
          <w:rPr>
            <w:rStyle w:val="Hyperlink"/>
          </w:rPr>
          <w:t xml:space="preserve">სტანდარტები</w:t>
        </w:r>
      </w:hyperlink>
      <w:r>
        <w:t xml:space="preserve"> </w:t>
      </w:r>
      <w:r>
        <w:t xml:space="preserve">›</w:t>
      </w:r>
      <w:r>
        <w:t xml:space="preserve"> </w:t>
      </w:r>
      <w:hyperlink r:id="rId21">
        <w:r>
          <w:rPr>
            <w:rStyle w:val="Hyperlink"/>
          </w:rPr>
          <w:t xml:space="preserve">სტანდარტი 25</w:t>
        </w:r>
      </w:hyperlink>
      <w:r>
        <w:t xml:space="preserve"> </w:t>
      </w:r>
      <w:r>
        <w:t xml:space="preserve">›</w:t>
      </w:r>
      <w:r>
        <w:t xml:space="preserve"> </w:t>
      </w:r>
      <w:hyperlink r:id="rId22">
        <w:r>
          <w:rPr>
            <w:rStyle w:val="Hyperlink"/>
          </w:rPr>
          <w:t xml:space="preserve">პოლიტიკები</w:t>
        </w:r>
      </w:hyperlink>
    </w:p>
    <w:p>
      <w:pPr>
        <w:pStyle w:val="BodyText"/>
      </w:pPr>
      <w:r>
        <w:t xml:space="preserve">პოლიტიკა · HMG-POL-004 · ვერსია 1.0 · დამტკიცებულია ASF ექსპერტთა კომიტეტის მიერ</w:t>
      </w:r>
    </w:p>
    <w:p>
      <w:pPr>
        <w:pStyle w:val="BodyText"/>
      </w:pPr>
      <w:r>
        <w:rPr>
          <w:bCs/>
          <w:b/>
        </w:rPr>
        <w:t xml:space="preserve">დაკავშირებულია:</w:t>
      </w:r>
      <w:r>
        <w:t xml:space="preserve"> </w:t>
      </w:r>
      <w:hyperlink r:id="rId23">
        <w:r>
          <w:rPr>
            <w:rStyle w:val="Hyperlink"/>
          </w:rPr>
          <w:t xml:space="preserve">25.6</w:t>
        </w:r>
      </w:hyperlink>
    </w:p>
    <w:p>
      <w:pPr>
        <w:pStyle w:val="BodyText"/>
      </w:pPr>
      <w:r>
        <w:t xml:space="preserve">მოკლედ</w:t>
      </w:r>
    </w:p>
    <w:p>
      <w:pPr>
        <w:numPr>
          <w:ilvl w:val="0"/>
          <w:numId w:val="1001"/>
        </w:numPr>
        <w:pStyle w:val="Compact"/>
      </w:pPr>
      <w:r>
        <w:t xml:space="preserve">გამოიყენეთ ლტოლვილისა და მიგრანტის ჯანმრთელობისთვის დაწერილი სახელმძღვანელოები, სადაც ისინი არსებობს.</w:t>
      </w:r>
    </w:p>
    <w:p>
      <w:pPr>
        <w:numPr>
          <w:ilvl w:val="0"/>
          <w:numId w:val="1001"/>
        </w:numPr>
        <w:pStyle w:val="Compact"/>
      </w:pPr>
      <w:r>
        <w:t xml:space="preserve">აღრიცხეთ, სად არ არის მტკიცებულება, და პრაქტიკა ფრთხილად მოარგეთ.</w:t>
      </w:r>
    </w:p>
    <w:p>
      <w:pPr>
        <w:numPr>
          <w:ilvl w:val="0"/>
          <w:numId w:val="1001"/>
        </w:numPr>
        <w:pStyle w:val="Compact"/>
      </w:pPr>
      <w:r>
        <w:t xml:space="preserve">ყოველ წელს შეამოწმეთ სახელმძღვანელოების სია განახლებებისთვის.</w:t>
      </w:r>
    </w:p>
    <w:p>
      <w:pPr>
        <w:numPr>
          <w:ilvl w:val="0"/>
          <w:numId w:val="1001"/>
        </w:numPr>
        <w:pStyle w:val="Compact"/>
      </w:pPr>
      <w:r>
        <w:t xml:space="preserve">გამოიყენეთ სკრინინგი თითოეული პოპულაციისთვის, მაგალითად ტუბერკულოზის სკრინინგი მაღალი ტვირთის ქვეყნიდან მოსული პაციენტისთვის.</w:t>
      </w:r>
    </w:p>
    <w:p>
      <w:pPr>
        <w:numPr>
          <w:ilvl w:val="0"/>
          <w:numId w:val="1001"/>
        </w:numPr>
        <w:pStyle w:val="Compact"/>
      </w:pPr>
      <w:r>
        <w:t xml:space="preserve">შეწყვიტეთ და დაუყოვნებლივ მოითხოვეთ დახმარება, თუ: ტუბერკულოზის სკრინინგი გამოტოვებულია მაღალი ტვირთის ქვეყნიდან მოსული პაციენტისთვის.</w:t>
      </w:r>
    </w:p>
    <w:bookmarkStart w:id="24" w:name="მიზანი"/>
    <w:p>
      <w:pPr>
        <w:pStyle w:val="Heading2"/>
      </w:pPr>
      <w:r>
        <w:t xml:space="preserve">1. მიზანი</w:t>
      </w:r>
    </w:p>
    <w:p>
      <w:pPr>
        <w:pStyle w:val="FirstParagraph"/>
      </w:pPr>
      <w:r>
        <w:t xml:space="preserve">იმისთვის, რომ მოვლა ეყრდნობოდეს მიგრანტი პოპულაციებისთვის დაწერილ სახელმძღვანელოებს და რომ ხარვეზები ამოცნობილი იყოს (25.6).</w:t>
      </w:r>
    </w:p>
    <w:bookmarkEnd w:id="24"/>
    <w:bookmarkStart w:id="25" w:name="სფერო"/>
    <w:p>
      <w:pPr>
        <w:pStyle w:val="Heading2"/>
      </w:pPr>
      <w:r>
        <w:t xml:space="preserve">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საავადმყოფოს კლინიკური და დამხმარე პერსონალი</w:t>
            </w:r>
          </w:p>
        </w:tc>
      </w:tr>
      <w:tr>
        <w:tc>
          <w:tcPr/>
          <w:p>
            <w:pPr>
              <w:pStyle w:val="Compact"/>
              <w:jc w:val="left"/>
            </w:pPr>
            <w:r>
              <w:t xml:space="preserve">ადგილმდებარეობა</w:t>
            </w:r>
          </w:p>
        </w:tc>
        <w:tc>
          <w:tcPr/>
          <w:p>
            <w:pPr>
              <w:pStyle w:val="Compact"/>
              <w:jc w:val="left"/>
            </w:pPr>
            <w:r>
              <w:t xml:space="preserve">დაწესებულების ყველა განყოფილება, კლინიკა და დეპარტამენტი</w:t>
            </w:r>
          </w:p>
        </w:tc>
      </w:tr>
      <w:tr>
        <w:tc>
          <w:tcPr/>
          <w:p>
            <w:pPr>
              <w:pStyle w:val="Compact"/>
              <w:jc w:val="left"/>
            </w:pPr>
            <w:r>
              <w:t xml:space="preserve">როდის</w:t>
            </w:r>
          </w:p>
        </w:tc>
        <w:tc>
          <w:tcPr/>
          <w:p>
            <w:pPr>
              <w:pStyle w:val="Compact"/>
              <w:jc w:val="left"/>
            </w:pPr>
            <w:r>
              <w:t xml:space="preserve">ყოველ შემთხვევაში, როცა აღწერილი საქმიანობა სრულდება</w:t>
            </w:r>
          </w:p>
        </w:tc>
      </w:tr>
      <w:tr>
        <w:tc>
          <w:tcPr/>
          <w:p>
            <w:pPr>
              <w:pStyle w:val="Compact"/>
              <w:jc w:val="left"/>
            </w:pPr>
            <w:r>
              <w:t xml:space="preserve">არ ვრცელდება</w:t>
            </w:r>
          </w:p>
        </w:tc>
        <w:tc>
          <w:tcPr/>
          <w:p>
            <w:pPr>
              <w:pStyle w:val="Compact"/>
              <w:jc w:val="left"/>
            </w:pPr>
            <w:r>
              <w:t xml:space="preserve">საქმიანობა, რომელსაც მოიცავს სხვა დოკუმენტი, ჩამოთვლილი განყოფილება 15-ში</w:t>
            </w:r>
          </w:p>
        </w:tc>
      </w:tr>
    </w:tbl>
    <w:bookmarkEnd w:id="25"/>
    <w:bookmarkStart w:id="26"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კლინიკური ლიდერი</w:t>
            </w:r>
          </w:p>
        </w:tc>
        <w:tc>
          <w:tcPr/>
          <w:p>
            <w:pPr>
              <w:pStyle w:val="Compact"/>
              <w:jc w:val="left"/>
            </w:pPr>
            <w:r>
              <w:t xml:space="preserve">იმ დროს სამსახურის ზედამხედველი ექიმი ან ექთანი</w:t>
            </w:r>
          </w:p>
        </w:tc>
      </w:tr>
    </w:tbl>
    <w:bookmarkEnd w:id="26"/>
    <w:bookmarkStart w:id="27" w:name="ფონი"/>
    <w:p>
      <w:pPr>
        <w:pStyle w:val="Heading2"/>
      </w:pPr>
      <w:r>
        <w:t xml:space="preserve">4. ფონი</w:t>
      </w:r>
    </w:p>
    <w:p>
      <w:pPr>
        <w:pStyle w:val="FirstParagraph"/>
      </w:pPr>
      <w:r>
        <w:t xml:space="preserve">მიგრანტებისა და ლტოლვილების პოპულაციაში ზოგიერთ ჯანმრთელობის პრობლემას სჭირდება კონკრეტული სახელმძღვანელო, მაგალითად ტუბერკულოზის სკრინინგი ან ფსიქიკური ჯანმრთელობა იძულებით გადაადგილების შემდეგ. ამ სახელმძღვანელოს გამოყენება, სადაც ის არსებობს, და იმის თქმა, სადაც არ არსებობს, მოვლას მტკიცებულებაზე დაფუძნებულს ხდის.</w:t>
      </w:r>
    </w:p>
    <w:bookmarkEnd w:id="27"/>
    <w:bookmarkStart w:id="28"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მიგრანტის ჯანმრთელობის კლინიკური ლიდერი</w:t>
            </w:r>
          </w:p>
        </w:tc>
        <w:tc>
          <w:tcPr/>
          <w:p>
            <w:pPr>
              <w:pStyle w:val="Compact"/>
              <w:jc w:val="left"/>
            </w:pPr>
            <w:r>
              <w:t xml:space="preserve">ინახავს სახელმძღვანელოების სიას და ხარვეზების ჩანაწერს</w:t>
            </w:r>
          </w:p>
        </w:tc>
        <w:tc>
          <w:tcPr/>
          <w:p>
            <w:pPr>
              <w:pStyle w:val="Compact"/>
              <w:jc w:val="left"/>
            </w:pPr>
            <w:r>
              <w:t xml:space="preserve">კლინიცისტი</w:t>
            </w:r>
          </w:p>
        </w:tc>
      </w:tr>
    </w:tbl>
    <w:bookmarkEnd w:id="28"/>
    <w:bookmarkStart w:id="29"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ნივთი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ამ დოკუმენტში მითითებული ჩანაწერები და ფორმები</w:t>
            </w:r>
          </w:p>
        </w:tc>
        <w:tc>
          <w:tcPr/>
          <w:p>
            <w:pPr>
              <w:pStyle w:val="Compact"/>
              <w:jc w:val="left"/>
            </w:pPr>
            <w:r>
              <w:t xml:space="preserve">მიმდინარე ვერსია</w:t>
            </w:r>
          </w:p>
        </w:tc>
        <w:tc>
          <w:tcPr/>
          <w:p>
            <w:pPr>
              <w:pStyle w:val="Compact"/>
              <w:jc w:val="left"/>
            </w:pPr>
            <w:r>
              <w:t xml:space="preserve">გამოყენებამდე შემოწმებული</w:t>
            </w:r>
          </w:p>
        </w:tc>
      </w:tr>
    </w:tbl>
    <w:bookmarkEnd w:id="29"/>
    <w:bookmarkStart w:id="30" w:name="უსაფრთხოება"/>
    <w:p>
      <w:pPr>
        <w:pStyle w:val="Heading2"/>
      </w:pPr>
      <w:r>
        <w:t xml:space="preserve">7. უსაფრთხოება</w:t>
      </w:r>
    </w:p>
    <w:p>
      <w:pPr>
        <w:numPr>
          <w:ilvl w:val="0"/>
          <w:numId w:val="1002"/>
        </w:numPr>
        <w:pStyle w:val="Compact"/>
      </w:pPr>
      <w:r>
        <w:t xml:space="preserve">თუ პაციენტს უშუალო რისკი ემუქრება, შეწყვიტეთ და გამოიძახეთ დახმარება. არ დააყოვნოთ გადაუდებელი მკურნალობა საბუთების შევსების გამო.</w:t>
      </w:r>
    </w:p>
    <w:bookmarkEnd w:id="30"/>
    <w:bookmarkStart w:id="31" w:name="დაწყებამდე"/>
    <w:p>
      <w:pPr>
        <w:pStyle w:val="Heading2"/>
      </w:pPr>
      <w:r>
        <w:t xml:space="preserve">8. დაწყებამდე</w:t>
      </w:r>
    </w:p>
    <w:p>
      <w:pPr>
        <w:numPr>
          <w:ilvl w:val="0"/>
          <w:numId w:val="1003"/>
        </w:numPr>
        <w:pStyle w:val="Compact"/>
      </w:pPr>
      <w:r>
        <w:t xml:space="preserve">დაადასტურეთ, რომ ამ დოკუმენტში მითითებული ფორმები და აღჭურვილობა ხელმისაწვდომია და აქტუალურია.</w:t>
      </w:r>
    </w:p>
    <w:bookmarkEnd w:id="31"/>
    <w:bookmarkStart w:id="32" w:name="პროცედურა"/>
    <w:p>
      <w:pPr>
        <w:pStyle w:val="Heading2"/>
      </w:pPr>
      <w:r>
        <w:t xml:space="preserve">9. პროცედურა</w:t>
      </w:r>
    </w:p>
    <w:p>
      <w:pPr>
        <w:pStyle w:val="FirstParagraph"/>
      </w:pPr>
      <w:r>
        <w:t xml:space="preserve">ეტაპი 1. კონკრეტული სახელმძღვანელოს გამოყენება.</w:t>
      </w:r>
    </w:p>
    <w:p>
      <w:pPr>
        <w:numPr>
          <w:ilvl w:val="0"/>
          <w:numId w:val="1004"/>
        </w:numPr>
        <w:pStyle w:val="Compact"/>
      </w:pPr>
      <w:r>
        <w:t xml:space="preserve">გამოიყენეთ მიგრანტებისთვის განკუთვნილი სახელმძღვანელო ყოველი მდგომარეობისთვის, სადაც ის არსებობს.</w:t>
      </w:r>
    </w:p>
    <w:p>
      <w:pPr>
        <w:pStyle w:val="FirstParagraph"/>
      </w:pPr>
      <w:r>
        <w:rPr>
          <w:bCs/>
          <w:b/>
        </w:rPr>
        <w:t xml:space="preserve">მთავარი პუნქტი:</w:t>
      </w:r>
      <w:r>
        <w:t xml:space="preserve"> </w:t>
      </w:r>
      <w:r>
        <w:t xml:space="preserve">გამოყენებულია.</w:t>
      </w:r>
    </w:p>
    <w:p>
      <w:pPr>
        <w:pStyle w:val="BodyText"/>
      </w:pPr>
      <w:r>
        <w:t xml:space="preserve">ეტაპი 2. ხარვეზების ჩაწერა.</w:t>
      </w:r>
    </w:p>
    <w:p>
      <w:pPr>
        <w:numPr>
          <w:ilvl w:val="0"/>
          <w:numId w:val="1005"/>
        </w:numPr>
        <w:pStyle w:val="Compact"/>
      </w:pPr>
      <w:r>
        <w:t xml:space="preserve">აღრიცხეთ, სად არ არსებობს მიგრანტისთვის განკუთვნილი მტკიცებულება და როგორ მოერგო პრაქტიკა.</w:t>
      </w:r>
    </w:p>
    <w:p>
      <w:pPr>
        <w:pStyle w:val="FirstParagraph"/>
      </w:pPr>
      <w:r>
        <w:rPr>
          <w:bCs/>
          <w:b/>
        </w:rPr>
        <w:t xml:space="preserve">მთავარი პუნქტი:</w:t>
      </w:r>
      <w:r>
        <w:t xml:space="preserve"> </w:t>
      </w:r>
      <w:r>
        <w:t xml:space="preserve">აღრიცხულია.</w:t>
      </w:r>
    </w:p>
    <w:p>
      <w:pPr>
        <w:pStyle w:val="BodyText"/>
      </w:pPr>
      <w:r>
        <w:t xml:space="preserve">ეტაპი 3. გადასინჯვა.</w:t>
      </w:r>
    </w:p>
    <w:p>
      <w:pPr>
        <w:numPr>
          <w:ilvl w:val="0"/>
          <w:numId w:val="1006"/>
        </w:numPr>
        <w:pStyle w:val="Compact"/>
      </w:pPr>
      <w:r>
        <w:t xml:space="preserve">ყოველ წელს გადასინჯეთ სახელმძღვანელოების სია.</w:t>
      </w:r>
    </w:p>
    <w:p>
      <w:pPr>
        <w:pStyle w:val="FirstParagraph"/>
      </w:pPr>
      <w:r>
        <w:rPr>
          <w:bCs/>
          <w:b/>
        </w:rPr>
        <w:t xml:space="preserve">მთავარი პუნქტი:</w:t>
      </w:r>
      <w:r>
        <w:t xml:space="preserve"> </w:t>
      </w:r>
      <w:r>
        <w:t xml:space="preserve">გადასინჯულია.</w:t>
      </w:r>
    </w:p>
    <w:bookmarkEnd w:id="32"/>
    <w:bookmarkStart w:id="33" w:name="გადაწყვეტილების-წერტილები"/>
    <w:p>
      <w:pPr>
        <w:pStyle w:val="Heading2"/>
      </w:pPr>
      <w:r>
        <w:t xml:space="preserve">10. გადაწყვეტილების წერტილები</w:t>
      </w:r>
    </w:p>
    <w:p>
      <w:pPr>
        <w:numPr>
          <w:ilvl w:val="0"/>
          <w:numId w:val="1007"/>
        </w:numPr>
        <w:pStyle w:val="Compact"/>
      </w:pPr>
      <w:r>
        <w:t xml:space="preserve">ამ პროცედურაში გადაწყვეტილების წერტილები არ არის.</w:t>
      </w:r>
    </w:p>
    <w:bookmarkEnd w:id="33"/>
    <w:bookmarkStart w:id="34"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არასამუშაო საათები</w:t>
            </w:r>
          </w:p>
        </w:tc>
        <w:tc>
          <w:tcPr/>
          <w:p>
            <w:pPr>
              <w:pStyle w:val="Compact"/>
              <w:jc w:val="left"/>
            </w:pPr>
            <w:r>
              <w:t xml:space="preserve">მიჰყევით იმავე ეტაპებს. გამოიყენეთ სამსახურის კედელზე მითითებული მორიგე კონტაქტი.</w:t>
            </w:r>
          </w:p>
        </w:tc>
      </w:tr>
    </w:tbl>
    <w:bookmarkEnd w:id="34"/>
    <w:bookmarkStart w:id="35" w:name="ესკალაცია"/>
    <w:p>
      <w:pPr>
        <w:pStyle w:val="Heading2"/>
      </w:pPr>
      <w:r>
        <w:t xml:space="preserve">12. ესკალაცია</w:t>
      </w:r>
    </w:p>
    <w:p>
      <w:pPr>
        <w:numPr>
          <w:ilvl w:val="0"/>
          <w:numId w:val="1008"/>
        </w:numPr>
        <w:pStyle w:val="Compact"/>
      </w:pPr>
      <w:r>
        <w:t xml:space="preserve">ნებისმიერი სერიოზული პრობლემა დაუყოვნებლივ მიეწოდება მორიგე კლინიკურ ლიდერს, ხოლო იმავე დღეს – კლინიკურ დირექტორს.</w:t>
      </w:r>
    </w:p>
    <w:bookmarkEnd w:id="35"/>
    <w:bookmarkStart w:id="36"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მიზანი</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მაღალი ტვირთის ქვეყნებიდან მოსული პაციენტები, რომლებიც სკრინინგდებიან სახელმძღვანელოს მოთხოვნისამებრ</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მიგრანტის ჯანმრთელობის კლინიკური ლიდერი</w:t>
            </w:r>
          </w:p>
        </w:tc>
        <w:tc>
          <w:tcPr/>
          <w:p>
            <w:pPr>
              <w:pStyle w:val="Compact"/>
              <w:jc w:val="left"/>
            </w:pPr>
            <w:r>
              <w:t xml:space="preserve">ესკალაცია სამედიცინო დირექტორთან</w:t>
            </w:r>
          </w:p>
        </w:tc>
      </w:tr>
    </w:tbl>
    <w:bookmarkEnd w:id="36"/>
    <w:bookmarkStart w:id="37"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შენახვის ადგილი</w:t>
            </w:r>
          </w:p>
        </w:tc>
        <w:tc>
          <w:tcPr/>
          <w:p>
            <w:pPr>
              <w:pStyle w:val="Compact"/>
              <w:jc w:val="left"/>
            </w:pPr>
            <w:r>
              <w:t xml:space="preserve">შენახვის ვადა</w:t>
            </w:r>
          </w:p>
        </w:tc>
      </w:tr>
      <w:tr>
        <w:tc>
          <w:tcPr/>
          <w:p>
            <w:pPr>
              <w:pStyle w:val="Compact"/>
              <w:jc w:val="left"/>
            </w:pPr>
            <w:r>
              <w:t xml:space="preserve">ამ დოკუმენტში მითითებული ჩანაწერი</w:t>
            </w:r>
          </w:p>
        </w:tc>
        <w:tc>
          <w:tcPr/>
          <w:p>
            <w:pPr>
              <w:pStyle w:val="Compact"/>
              <w:jc w:val="left"/>
            </w:pPr>
            <w:r>
              <w:t xml:space="preserve">პაციენტის ჩანაწერი ან განყოფილების საქმე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7"/>
    <w:bookmarkStart w:id="38" w:name="სწავლება"/>
    <w:p>
      <w:pPr>
        <w:pStyle w:val="Heading2"/>
      </w:pPr>
      <w:r>
        <w:t xml:space="preserve">15. სწავლება</w:t>
      </w:r>
    </w:p>
    <w:p>
      <w:pPr>
        <w:numPr>
          <w:ilvl w:val="0"/>
          <w:numId w:val="1009"/>
        </w:numPr>
        <w:pStyle w:val="Compact"/>
      </w:pPr>
      <w:r>
        <w:t xml:space="preserve">პერსონალი ამ დოკუმენტში ინსტრუქტირდება ჩართვისას და ყოველწლიურად ახლდება, კომპეტენციის ჩაწერილი შემოწმებით.</w:t>
      </w:r>
    </w:p>
    <w:bookmarkEnd w:id="38"/>
    <w:bookmarkStart w:id="39"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bl>
    <w:bookmarkEnd w:id="39"/>
    <w:bookmarkStart w:id="40"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მითითება</w:t>
            </w:r>
          </w:p>
        </w:tc>
        <w:tc>
          <w:tcPr/>
          <w:p>
            <w:pPr>
              <w:pStyle w:val="Compact"/>
              <w:jc w:val="left"/>
            </w:pPr>
            <w:r>
              <w:t xml:space="preserve">შენიშვნა</w:t>
            </w:r>
          </w:p>
        </w:tc>
      </w:tr>
      <w:tr>
        <w:tc>
          <w:tcPr/>
          <w:p>
            <w:pPr>
              <w:pStyle w:val="Compact"/>
              <w:jc w:val="left"/>
            </w:pPr>
            <w:r>
              <w:t xml:space="preserve">E-009</w:t>
            </w:r>
          </w:p>
        </w:tc>
        <w:tc>
          <w:tcPr/>
          <w:p>
            <w:pPr>
              <w:pStyle w:val="Compact"/>
              <w:jc w:val="left"/>
            </w:pPr>
            <w:r>
              <w:t xml:space="preserve">დაყრდნობილია WHO-სა და IOM-ის Global Competency Standards for Refugee and Migrant Health-ზე და WHO mhGAP Intervention Guide-ზე (2019).</w:t>
            </w:r>
          </w:p>
        </w:tc>
      </w:tr>
      <w:tr>
        <w:tc>
          <w:tcPr/>
          <w:p>
            <w:pPr>
              <w:pStyle w:val="Compact"/>
              <w:jc w:val="left"/>
            </w:pPr>
            <w:r>
              <w:t xml:space="preserve">E-006</w:t>
            </w:r>
          </w:p>
        </w:tc>
        <w:tc>
          <w:tcPr/>
          <w:p>
            <w:pPr>
              <w:pStyle w:val="Compact"/>
              <w:jc w:val="left"/>
            </w:pPr>
            <w:r>
              <w:t xml:space="preserve">ASF Policy Framework v1.2. ადაპტირებული.</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w:t>
            </w:r>
          </w:p>
        </w:tc>
      </w:tr>
    </w:tbl>
    <w:bookmarkEnd w:id="40"/>
    <w:bookmarkStart w:id="41"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pPr>
          </w:p>
        </w:tc>
      </w:tr>
    </w:tbl>
    <w:bookmarkEnd w:id="41"/>
    <w:bookmarkStart w:id="43" w:name="ამ-დოკუმენტის-ელექტრონული-სწავლება"/>
    <w:p>
      <w:pPr>
        <w:pStyle w:val="Heading2"/>
      </w:pPr>
      <w:r>
        <w:t xml:space="preserve">ამ დოკუმენტის ელექტრონული სწავლება</w:t>
      </w:r>
    </w:p>
    <w:p>
      <w:pPr>
        <w:numPr>
          <w:ilvl w:val="0"/>
          <w:numId w:val="1010"/>
        </w:numPr>
        <w:pStyle w:val="Compact"/>
      </w:pPr>
      <w:hyperlink r:id="rId42">
        <w:r>
          <w:rPr>
            <w:rStyle w:val="Hyperlink"/>
          </w:rPr>
          <w:t xml:space="preserve">Refugee &amp; Migrant Health — Endorsement Course</w:t>
        </w:r>
      </w:hyperlink>
      <w:r>
        <w:t xml:space="preserve"> </w:t>
      </w:r>
      <w:r>
        <w:t xml:space="preserve">(H-09)</w:t>
      </w:r>
    </w:p>
    <w:bookmarkEnd w:id="43"/>
    <w:bookmarkStart w:id="44" w:name="წყაროები"/>
    <w:p>
      <w:pPr>
        <w:pStyle w:val="Heading2"/>
      </w:pPr>
      <w:r>
        <w:t xml:space="preserve">წყაროები</w:t>
      </w:r>
    </w:p>
    <w:p>
      <w:pPr>
        <w:numPr>
          <w:ilvl w:val="0"/>
          <w:numId w:val="1011"/>
        </w:numPr>
        <w:pStyle w:val="Compact"/>
      </w:pPr>
      <w:r>
        <w:t xml:space="preserve">Accréditation Sans Frontières (2026). ASF Policy Framework v1.2.</w:t>
      </w:r>
      <w:r>
        <w:t xml:space="preserve"> </w:t>
      </w:r>
      <w:r>
        <w:t xml:space="preserve">(E-006)</w:t>
      </w:r>
    </w:p>
    <w:p>
      <w:pPr>
        <w:numPr>
          <w:ilvl w:val="0"/>
          <w:numId w:val="1011"/>
        </w:numPr>
        <w:pStyle w:val="Compact"/>
      </w:pPr>
      <w:r>
        <w:t xml:space="preserve">Accréditation Sans Frontières (2026). ASF Expert Committee consensus on Standard 1.</w:t>
      </w:r>
      <w:r>
        <w:t xml:space="preserve"> </w:t>
      </w:r>
      <w:r>
        <w:t xml:space="preserve">(E-009)</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ka/resources/policies/" TargetMode="External" /><Relationship Type="http://schemas.openxmlformats.org/officeDocument/2006/relationships/hyperlink" Id="rId20" Target="/ka/standards/" TargetMode="External" /><Relationship Type="http://schemas.openxmlformats.org/officeDocument/2006/relationships/hyperlink" Id="rId21" Target="/ka/standards/standard-25/" TargetMode="External" /><Relationship Type="http://schemas.openxmlformats.org/officeDocument/2006/relationships/hyperlink" Id="rId23" Target="/ka/standards/standard-25/#c25-6" TargetMode="External" /><Relationship Type="http://schemas.openxmlformats.org/officeDocument/2006/relationships/hyperlink" Id="rId42" Target="https://academy.gmj.ge/courses/asf-h-09-en/" TargetMode="External" /></Relationships>
</file>

<file path=word/_rels/footnotes.xml.rels><?xml version="1.0" encoding="UTF-8"?><Relationships xmlns="http://schemas.openxmlformats.org/package/2006/relationships"><Relationship Type="http://schemas.openxmlformats.org/officeDocument/2006/relationships/hyperlink" Id="rId22" Target="/ka/resources/policies/" TargetMode="External" /><Relationship Type="http://schemas.openxmlformats.org/officeDocument/2006/relationships/hyperlink" Id="rId20" Target="/ka/standards/" TargetMode="External" /><Relationship Type="http://schemas.openxmlformats.org/officeDocument/2006/relationships/hyperlink" Id="rId21" Target="/ka/standards/standard-25/" TargetMode="External" /><Relationship Type="http://schemas.openxmlformats.org/officeDocument/2006/relationships/hyperlink" Id="rId23" Target="/ka/standards/standard-25/#c25-6" TargetMode="External" /><Relationship Type="http://schemas.openxmlformats.org/officeDocument/2006/relationships/hyperlink" Id="rId42" Target="https://academy.gmj.ge/courses/asf-h-09-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HMG-POL-004: მტკიცებულებები ლტოლვილისა და მიგრანტის ჯანმრთელობისთვის</dc:title>
  <dc:creator/>
  <cp:keywords/>
  <dcterms:created xsi:type="dcterms:W3CDTF">2026-11-07T01:21:07Z</dcterms:created>
  <dcterms:modified xsi:type="dcterms:W3CDTF">2026-11-07T01:21:07Z</dcterms:modified>
</cp:coreProperties>
</file>

<file path=docProps/custom.xml><?xml version="1.0" encoding="utf-8"?>
<Properties xmlns="http://schemas.openxmlformats.org/officeDocument/2006/custom-properties" xmlns:vt="http://schemas.openxmlformats.org/officeDocument/2006/docPropsVTypes"/>
</file>