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პროცედურა · HMG-SOP-001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25.4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ჩართეთ იურიდიული, განათლების, დასაქმების, საცხოვრებლისა და სოციალური მომსახურების სფეროები, რომლებიც ეხება თითოეულ პაციენტს.</w:t>
      </w:r>
    </w:p>
    <w:p>
      <w:pPr>
        <w:numPr>
          <w:ilvl w:val="0"/>
          <w:numId w:val="1001"/>
        </w:numPr>
        <w:pStyle w:val="Compact"/>
      </w:pPr>
      <w:r>
        <w:t xml:space="preserve">აღრიცხეთ ყოველი მიმართვა PHC-REG-002-ზე და თვალყური ადევნეთ შედეგს.</w:t>
      </w:r>
    </w:p>
    <w:p>
      <w:pPr>
        <w:numPr>
          <w:ilvl w:val="0"/>
          <w:numId w:val="1001"/>
        </w:numPr>
        <w:pStyle w:val="Compact"/>
      </w:pPr>
      <w:r>
        <w:t xml:space="preserve">ყოველ გადაბარებაში ჩართეთ მიგრაციისა და იძულებით გადაადგილების კონტექსტი.</w:t>
      </w:r>
    </w:p>
    <w:p>
      <w:pPr>
        <w:numPr>
          <w:ilvl w:val="0"/>
          <w:numId w:val="1001"/>
        </w:numPr>
        <w:pStyle w:val="Compact"/>
      </w:pPr>
      <w:r>
        <w:t xml:space="preserve">თვალყური ადევნეთ ყოველ მიმართვას, რომელიც მომსახურებამდე არ მიდის.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საცხოვრებლის გარეშე პაციენტი იმავე პრობლემით ბრუნდება იმავე კლინიკაში.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ჯანდაცვა დაუკავშირდეს სოციალურ მომსახურებებს, რომლებიც პაციენტის ჯანმრთელობაზე მოქმედებს (25.4).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მიგრანტებისა და იძულებით გადაადგილებული ადამიანების ჯანმრთელობის პრობლემებს ხშირად განაპირობებს საცხოვრებელი, სამუშაო, იურიდიული სტატუსი და სწავლა. კლინიკა, რომელიც ამ მომსახურებებთან ერთად მუშაობს, შეუძლია მიზეზს მიმართოს და არა მხოლოდ სიმპტომს.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სოციალური მუშაობის ან ნავიგაციის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მიმართვის მარშრუტს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თანამშრომლები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მიმართვა.</w:t>
      </w:r>
    </w:p>
    <w:p>
      <w:pPr>
        <w:numPr>
          <w:ilvl w:val="0"/>
          <w:numId w:val="1004"/>
        </w:numPr>
        <w:pStyle w:val="Compact"/>
      </w:pPr>
      <w:r>
        <w:t xml:space="preserve">მიმართეთ პაციენტი შესაბამის მომსახურებაზე და აღრიცხეთ PHC-REG-002-ზე.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მიმართულია.</w:t>
      </w:r>
    </w:p>
    <w:p>
      <w:pPr>
        <w:pStyle w:val="BodyText"/>
      </w:pPr>
      <w:r>
        <w:t xml:space="preserve">ნაბიჯი 2. გადაბარება.</w:t>
      </w:r>
    </w:p>
    <w:p>
      <w:pPr>
        <w:numPr>
          <w:ilvl w:val="0"/>
          <w:numId w:val="1005"/>
        </w:numPr>
        <w:pStyle w:val="Compact"/>
      </w:pPr>
      <w:r>
        <w:t xml:space="preserve">გადაბარებაში ჩართეთ მიგრაციისა და იძულებით გადაადგილების კონტექსტი.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გადაბარებულია.</w:t>
      </w:r>
    </w:p>
    <w:p>
      <w:pPr>
        <w:pStyle w:val="BodyText"/>
      </w:pPr>
      <w:r>
        <w:t xml:space="preserve">ნაბიჯი 3. თვალყურის დევნება.</w:t>
      </w:r>
    </w:p>
    <w:p>
      <w:pPr>
        <w:numPr>
          <w:ilvl w:val="0"/>
          <w:numId w:val="1006"/>
        </w:numPr>
        <w:pStyle w:val="Compact"/>
      </w:pPr>
      <w:r>
        <w:t xml:space="preserve">თვალყური ადევნეთ ყოველ მიმართვას შედეგამდე და მიჰყევით ყოველს, რომელიც არ მიაღწია.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თვალყური ადევნეს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მიმართვები თვალყური აქვს შედეგამდე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სოციალური მუშაობის ან ნავიგაციის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PHC-REG-002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მიმართვების თვალყურის დევნების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და IOM-ის გლობალურ კომპეტენციის სტანდარტებზე ლტოლვილთა და მიგრანტთა ჯანმრთელობისთვის და WHO mhGAP ინტერვენციის სახელმძღვანელოზე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ლტოლვილთა და მიგრანტთა ჯანმრთელობა — დამტკიცების კურსი</w:t>
        </w:r>
      </w:hyperlink>
      <w:r>
        <w:t xml:space="preserve"> </w:t>
      </w:r>
      <w:r>
        <w:t xml:space="preserve">(H-09)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phc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4" TargetMode="External" /><Relationship Type="http://schemas.openxmlformats.org/officeDocument/2006/relationships/hyperlink" Id="rId43" Target="https://academy.gmj.ge/courses/asf-h-09-en/" TargetMode="External" /><Relationship Type="http://schemas.openxmlformats.org/officeDocument/2006/relationships/hyperlink" Id="rId46" Target="https://france-asf.fr/wp-content/uploads/2026/10/hmg-sop-001-form-1.docx" TargetMode="External" /><Relationship Type="http://schemas.openxmlformats.org/officeDocument/2006/relationships/hyperlink" Id="rId45" Target="https://france-asf.fr/wp-content/uploads/2026/10/hmg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phc-reg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4" TargetMode="External" /><Relationship Type="http://schemas.openxmlformats.org/officeDocument/2006/relationships/hyperlink" Id="rId43" Target="https://academy.gmj.ge/courses/asf-h-09-en/" TargetMode="External" /><Relationship Type="http://schemas.openxmlformats.org/officeDocument/2006/relationships/hyperlink" Id="rId46" Target="https://france-asf.fr/wp-content/uploads/2026/10/hmg-sop-001-form-1.docx" TargetMode="External" /><Relationship Type="http://schemas.openxmlformats.org/officeDocument/2006/relationships/hyperlink" Id="rId45" Target="https://france-asf.fr/wp-content/uploads/2026/10/hmg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2026-11-07T01:30:37Z</dcterms:created>
  <dcterms:modified xsi:type="dcterms:W3CDTF">2026-11-07T01:30:37Z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