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HND-FRM-001: სტრუქტურირებული მიბარების ჩამონათვალი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სტრუქტურირებული მიბარების ჩამონათვალი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HND-FRM-001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48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HND-FRM-001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48.4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თითოეულ მიბარებას მოვლის გადაცემისას: მიმდინარე მდგომარეობას, რისკებს, გეგმას, პასუხისმგებელ პირს და გამეორებით დადასტურებას.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მოვლის ყოველი გადაცემისას გამოიყენეთ მიბარების ინსტრუმენტი (HOS-SOP-004).</w:t>
      </w:r>
    </w:p>
    <w:p>
      <w:pPr>
        <w:numPr>
          <w:ilvl w:val="0"/>
          <w:numId w:val="1001"/>
        </w:numPr>
        <w:pStyle w:val="Compact"/>
      </w:pPr>
      <w:r>
        <w:t>მოიცავს მდგომარეობას, რისკებს, გეგმასა და პასუხისმგებელ პირს.</w:t>
      </w:r>
    </w:p>
    <w:p>
      <w:pPr>
        <w:numPr>
          <w:ilvl w:val="0"/>
          <w:numId w:val="1001"/>
        </w:numPr>
        <w:pStyle w:val="Compact"/>
      </w:pPr>
      <w:r>
        <w:t>მიმღები გაიმეორებს მთავარ პუნქტებს და დაადასტურებს მათ.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მიმდინარე მდგომარეობა მიცემულია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რისკები მიცემულია (დაცემა, წნევა, მედიკამენტები, სხვა)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გეგმა მიცემულია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დასახელებულია პასუხისმგებელი პირი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გამეორება დადასტურებულია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48/" TargetMode="External"/><Relationship Id="rId23" Type="http://schemas.openxmlformats.org/officeDocument/2006/relationships/hyperlink" Target="/standards/standard-48/#c48-4" TargetMode="External"/><Relationship Id="rId29" Type="http://schemas.openxmlformats.org/officeDocument/2006/relationships/hyperlink" Target="https://france-asf.fr/wp-content/uploads/2026/10/hnd-frm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48/" TargetMode="External"/><Relationship Id="rId23" Type="http://schemas.openxmlformats.org/officeDocument/2006/relationships/hyperlink" Target="/standards/standard-48/#c48-4" TargetMode="External"/><Relationship Id="rId29" Type="http://schemas.openxmlformats.org/officeDocument/2006/relationships/hyperlink" Target="https://france-asf.fr/wp-content/uploads/2026/10/hnd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HND-FRM-001: Structured handover checklist</dc:title>
  <dc:creator/>
  <cp:keywords/>
  <dcterms:created xsi:type="dcterms:W3CDTF">2026-10-28T21:33:02Z</dcterms:created>
  <dcterms:modified xsi:type="dcterms:W3CDTF">2026-10-28T21:33:02Z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