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HOS-FRM-001: ტრიაჟის ჩანაწერი და ჟურნალი</w:t>
      </w:r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ტრიაჟის ჩანაწერი და ჟურნალი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HOS-FRM-001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ადაპტაციისთვის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ცვლის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>სტანდარტები › სტანდარტი S1 › ფორმები</w:t>
        </w:r>
      </w:hyperlink>
      <w:r/>
      <w:r/>
      <w:r/>
      <w:r/>
      <w:r/>
      <w:r/>
      <w:r/>
      <w:hyperlink r:id="rId21">
        <w:r>
          <w:rPr>
            <w:rStyle w:val="Hyperlink"/>
          </w:rPr>
        </w:r>
      </w:hyperlink>
    </w:p>
    <w:p>
      <w:pPr>
        <w:pStyle w:val="BodyText"/>
      </w:pPr>
      <w:r>
        <w:t>ფორმა · HOS-FRM-001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S1.1</w:t>
      </w:r>
      <w:r/>
      <w:r/>
    </w:p>
    <w:bookmarkStart w:id="22" w:name="purpose"/>
    <w:p>
      <w:pPr>
        <w:pStyle w:val="Heading2"/>
      </w:pPr>
      <w:r>
        <w:t>მიზანი</w:t>
      </w:r>
    </w:p>
    <w:p>
      <w:pPr>
        <w:pStyle w:val="FirstParagraph"/>
      </w:pPr>
      <w:r>
        <w:t>აფიქსირებს ყოველ მოსვლას, მის ტრიაჟის კატეგორიასა და ნახვის დროს. აუდიტორი ამ ჟურნალიდან ირჩევს ნიმუშს.</w:t>
      </w:r>
    </w:p>
    <w:bookmarkEnd w:id="22"/>
    <w:bookmarkStart w:id="23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შეავსეთ ყოველი მოსვლისთვის, ტრიაჟის დროს.</w:t>
      </w:r>
    </w:p>
    <w:p>
      <w:pPr>
        <w:numPr>
          <w:ilvl w:val="0"/>
          <w:numId w:val="1001"/>
        </w:numPr>
        <w:pStyle w:val="Compact"/>
      </w:pPr>
      <w:r>
        <w:t>კატეგორია ჩაწერეთ დასახელებული ინსტრუმენტიდან.</w:t>
      </w:r>
    </w:p>
    <w:p>
      <w:pPr>
        <w:numPr>
          <w:ilvl w:val="0"/>
          <w:numId w:val="1001"/>
        </w:numPr>
        <w:pStyle w:val="Compact"/>
      </w:pPr>
      <w:r>
        <w:t>ჩაწერეთ დრო, როცა კლინიცისტმა ნახა.</w:t>
      </w:r>
    </w:p>
    <w:bookmarkEnd w:id="23"/>
    <w:bookmarkStart w:id="24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მოსვლის დრო დაფიქსირებულია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გამოყენებულია დასახელებული ტრიაჟის ინსტრუმენტი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კატეგორია დაფიქსირებულია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ნახვის დრო დაფიქსირებულია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ღამის მოსვლები გატრიაჟებული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დამტკიცება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ჯერ არ არის დაკავშირებული ელექტრონული კურსი.</w:t>
      </w:r>
    </w:p>
    <w:bookmarkEnd w:id="26"/>
    <w:bookmarkStart w:id="29" w:name="references"/>
    <w:p>
      <w:pPr>
        <w:pStyle w:val="Heading2"/>
      </w:pPr>
      <w:r>
        <w:t>მითითებები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7">
        <w:r>
          <w:rPr>
            <w:rStyle w:val="Hyperlink"/>
          </w:rPr>
          <w:t>ჩამოტვირთეთ ეს დოკუმენტი PDF ფორმატში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>Standard 36: Hospital Emergency Department</w:t>
        </w:r>
      </w:hyperlink>
    </w:p>
    <w:bookmarkEnd w:id="29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36/" TargetMode="External"/><Relationship Id="rId27" Type="http://schemas.openxmlformats.org/officeDocument/2006/relationships/hyperlink" Target="https://france-asf.fr/wp-content/uploads/2026/10/hos-frm-001.pdf" TargetMode="Externa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36/" TargetMode="External"/><Relationship Id="rId27" Type="http://schemas.openxmlformats.org/officeDocument/2006/relationships/hyperlink" Target="https://france-asf.fr/wp-content/uploads/2026/10/hos-frm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HOS-FRM-001: Triage record and log</dc:title>
  <dc:creator/>
  <cp:keywords/>
  <dcterms:created xsi:type="dcterms:W3CDTF">2026-10-28T21:34:35Z</dcterms:created>
  <dcterms:modified xsi:type="dcterms:W3CDTF">2026-10-28T21:34:35Z</dcterms:modified>
  <dc:language>ka-GE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