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HOS-FRM-002: დაკვირვებისა და ადრეული გაფრთხილების ჩარტი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დაკვირვებისა და ადრეული გაფრთხილების ჩარტი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HOS-FRM-002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HOS-FRM-002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S1.2</w:t>
      </w:r>
      <w:r/>
      <w:r/>
    </w:p>
    <w:bookmarkStart w:id="22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ფიქსირებს დაკვირვებებს, ადრეული გაფრთხილების ქულას და რეაგირებას ყოველი გააქტიურების შემთხვევაში.</w:t>
      </w:r>
    </w:p>
    <w:bookmarkEnd w:id="22"/>
    <w:bookmarkStart w:id="23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ჩაწერეთ სასიცოცხლო მაჩვენებლები დადგენილი სიხშირით.</w:t>
      </w:r>
    </w:p>
    <w:p>
      <w:pPr>
        <w:numPr>
          <w:ilvl w:val="0"/>
          <w:numId w:val="1001"/>
        </w:numPr>
        <w:pStyle w:val="Compact"/>
      </w:pPr>
      <w:r>
        <w:t>გამოთვალეთ ქულა და აღნიშნეთ იგი.</w:t>
      </w:r>
    </w:p>
    <w:p>
      <w:pPr>
        <w:numPr>
          <w:ilvl w:val="0"/>
          <w:numId w:val="1001"/>
        </w:numPr>
        <w:pStyle w:val="Compact"/>
      </w:pPr>
      <w:r>
        <w:t>ჩაწერეთ რეაგირება და გამოძახებული პირი.</w:t>
      </w:r>
    </w:p>
    <w:bookmarkEnd w:id="23"/>
    <w:bookmarkStart w:id="24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დაკვირვებები დროულად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ქულა გამოთვლილია და აღნიშნულია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სიხშირე გაიზარდა ქულის მატებისას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რეაგირება გააქტიურებისას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National Early Warning Score guidance (RCP, 2017).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26"/>
    <w:bookmarkStart w:id="29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58: Inpatient Ward Care</w:t>
        </w:r>
      </w:hyperlink>
    </w:p>
    <w:bookmarkEnd w:id="29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8/" TargetMode="External"/><Relationship Id="rId27" Type="http://schemas.openxmlformats.org/officeDocument/2006/relationships/hyperlink" Target="https://france-asf.fr/wp-content/uploads/2026/10/hos-frm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8/" TargetMode="External"/><Relationship Id="rId27" Type="http://schemas.openxmlformats.org/officeDocument/2006/relationships/hyperlink" Target="https://france-asf.fr/wp-content/uploads/2026/10/hos-frm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HOS-FRM-002: Observation and early warning chart</dc:title>
  <dc:creator/>
  <cp:keywords/>
  <dcterms:created xsi:type="dcterms:W3CDTF">2026-10-28T21:34:35Z</dcterms:created>
  <dcterms:modified xsi:type="dcterms:W3CDTF">2026-10-28T21:34:35Z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