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HOS-FRM-004: მიბარების ჩანაწერი</w:t>
      </w:r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ფორმა</w:t>
            </w:r>
          </w:p>
          <w:p>
            <w:pPr>
              <w:pStyle w:val="Compact"/>
              <w:jc w:val="left"/>
            </w:pPr>
            <w:r>
              <w:t>მიბარების ჩანაწერი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HOS-FRM-004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› Standard S1 › </w:t>
      </w:r>
      <w:r/>
      <w:r/>
      <w:r/>
      <w:r/>
      <w:r/>
      <w:r/>
      <w:hyperlink r:id="rId21">
        <w:r>
          <w:rPr>
            <w:rStyle w:val="Hyperlink"/>
          </w:rPr>
          <w:t xml:space="preserve">Forms</w:t>
        </w:r>
      </w:hyperlink>
    </w:p>
    <w:p>
      <w:pPr>
        <w:pStyle w:val="BodyText"/>
      </w:pPr>
      <w:r>
        <w:t>ფორმა · HOS-FRM-004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>მხარს უჭერს: სისტემა S1 (საავადმყოფო), კრიტერიუმი S1.4</w:t>
      </w:r>
      <w:r/>
      <w:r/>
    </w:p>
    <w:bookmarkStart w:id="22" w:name="purpose"/>
    <w:p>
      <w:pPr>
        <w:pStyle w:val="Heading2"/>
      </w:pPr>
      <w:r>
        <w:t>დანიშნულება</w:t>
      </w:r>
    </w:p>
    <w:p>
      <w:pPr>
        <w:pStyle w:val="FirstParagraph"/>
      </w:pPr>
      <w:r>
        <w:t>აღრიცხავს თითოეულ მიბარებას გუნდებს ან ცვლებს შორის, გადამცემსა და მიმღებს.</w:t>
      </w:r>
    </w:p>
    <w:bookmarkEnd w:id="22"/>
    <w:bookmarkStart w:id="23" w:name="how-to-complete"/>
    <w:p>
      <w:pPr>
        <w:pStyle w:val="Heading2"/>
      </w:pPr>
      <w:r>
        <w:t>როგორ შევავსოთ</w:t>
      </w:r>
    </w:p>
    <w:p>
      <w:pPr>
        <w:numPr>
          <w:ilvl w:val="0"/>
          <w:numId w:val="1001"/>
        </w:numPr>
        <w:pStyle w:val="Compact"/>
      </w:pPr>
      <w:r>
        <w:t>შეავსეთ ყოველი მიბარებისთვის.</w:t>
      </w:r>
    </w:p>
    <w:p>
      <w:pPr>
        <w:numPr>
          <w:ilvl w:val="0"/>
          <w:numId w:val="1001"/>
        </w:numPr>
        <w:pStyle w:val="Compact"/>
      </w:pPr>
      <w:r>
        <w:t>ჩაწერეთ ორივე სახელი და დრო.</w:t>
      </w:r>
    </w:p>
    <w:p>
      <w:pPr>
        <w:numPr>
          <w:ilvl w:val="0"/>
          <w:numId w:val="1001"/>
        </w:numPr>
        <w:pStyle w:val="Compact"/>
      </w:pPr>
      <w:r>
        <w:t>ჩაწერეთ დასმული ნებისმიერი შეკითხვა და პასუხი.</w:t>
      </w:r>
    </w:p>
    <w:bookmarkEnd w:id="23"/>
    <w:bookmarkStart w:id="24" w:name="checks"/>
    <w:p>
      <w:pPr>
        <w:pStyle w:val="Heading2"/>
      </w:pPr>
      <w:r>
        <w:t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გამოყენებულია სტრუქტურირებული ინსტრუმენტი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დასახელებულია გადამცემი და მიმღები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დრო აღირიცხა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მიმღებმა დასვა შეკითხვა ან დაადასტურა გეგმა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evidence"/>
    <w:p>
      <w:pPr>
        <w:pStyle w:val="Heading2"/>
      </w:pPr>
      <w:r>
        <w:t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E-007</w:t>
            </w:r>
          </w:p>
        </w:tc>
        <w:tc>
          <w:tcPr/>
          <w:p>
            <w:pPr>
              <w:pStyle w:val="Compact"/>
              <w:jc w:val="left"/>
            </w:pPr>
            <w:r>
              <w:t>WHO Nine patient safety solutions (2007).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E-006</w:t>
            </w:r>
          </w:p>
        </w:tc>
        <w:tc>
          <w:tcPr/>
          <w:p>
            <w:pPr>
              <w:pStyle w:val="Compact"/>
              <w:jc w:val="left"/>
            </w:pPr>
            <w:r>
              <w:t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5"/>
    <w:bookmarkStart w:id="26" w:name="change-history"/>
    <w:p>
      <w:pPr>
        <w:pStyle w:val="Heading2"/>
      </w:pPr>
      <w:r>
        <w:t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>ამ დოკუმენტთან ელექტრონული სწავლების კურსი ჯერ არ არის მიბმული.</w:t>
      </w:r>
    </w:p>
    <w:bookmarkEnd w:id="26"/>
    <w:bookmarkStart w:id="30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02"/>
        </w:numPr>
        <w:pStyle w:val="Compact"/>
      </w:pPr>
      <w:r>
        <w:t>Accréditation Sans Frontières (2026). ASF Policy Framework v1.2. (E-006)</w:t>
      </w:r>
      <w:r/>
      <w:r/>
    </w:p>
    <w:p>
      <w:pPr>
        <w:numPr>
          <w:ilvl w:val="0"/>
          <w:numId w:val="1002"/>
        </w:numPr>
        <w:pStyle w:val="Compact"/>
      </w:pPr>
      <w:r>
        <w:t>Accréditation Sans Frontières (2026). ASF Expert Committee consensus on Standard 1. (E-009)</w:t>
      </w:r>
      <w:r/>
      <w:r/>
    </w:p>
    <w:p>
      <w:pPr>
        <w:numPr>
          <w:ilvl w:val="0"/>
          <w:numId w:val="1002"/>
        </w:numPr>
        <w:pStyle w:val="Compact"/>
      </w:pPr>
      <w:r>
        <w:t>World Health Organization (2007). Nine patient safety solutions, including correct patient identification. Geneva: WHO.  (E-007)</w:t>
      </w:r>
      <w:r/>
      <w:hyperlink r:id="rId27">
        <w:r>
          <w:rPr>
            <w:rStyle w:val="Hyperlink"/>
          </w:rPr>
          <w:t xml:space="preserve">Open source</w:t>
        </w:r>
      </w:hyperlink>
      <w:r/>
      <w:r/>
    </w:p>
    <w:p>
      <w:pPr>
        <w:pStyle w:val="FirstParagraph"/>
      </w:pPr>
      <w:hyperlink r:id="rId28">
        <w:r>
          <w:rPr>
            <w:rStyle w:val="Hyperlink"/>
          </w:rPr>
          <w:t xml:space="preserve">Download this document as PDF</w:t>
        </w:r>
      </w:hyperlink>
    </w:p>
    <w:p>
      <w:pPr>
        <w:pStyle w:val="BodyText"/>
      </w:pPr>
      <w:r>
        <w:t>დაკავშირებული სტანდარტი</w:t>
      </w:r>
    </w:p>
    <w:p>
      <w:pPr>
        <w:numPr>
          <w:ilvl w:val="0"/>
          <w:numId w:val="1003"/>
        </w:numPr>
        <w:pStyle w:val="Compact"/>
      </w:pPr>
      <w:hyperlink r:id="rId29">
        <w:r>
          <w:rPr>
            <w:rStyle w:val="Hyperlink"/>
          </w:rPr>
          <w:t xml:space="preserve">Standard 63: Safe Handover</w:t>
        </w:r>
      </w:hyperlink>
    </w:p>
    <w:bookmarkEnd w:id="30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1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9" Type="http://schemas.openxmlformats.org/officeDocument/2006/relationships/hyperlink" Target="https://france-asf.fr/standards/standard-63/" TargetMode="External"/><Relationship Id="rId28" Type="http://schemas.openxmlformats.org/officeDocument/2006/relationships/hyperlink" Target="https://france-asf.fr/wp-content/uploads/2026/10/hos-frm-004.pdf" TargetMode="External"/><Relationship Id="rId27" Type="http://schemas.openxmlformats.org/officeDocument/2006/relationships/hyperlink" Target="https://www.who.int/news/item/02-05-2007-who-launches-nine-patient-safety-solutions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1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9" Type="http://schemas.openxmlformats.org/officeDocument/2006/relationships/hyperlink" Target="https://france-asf.fr/standards/standard-63/" TargetMode="External"/><Relationship Id="rId28" Type="http://schemas.openxmlformats.org/officeDocument/2006/relationships/hyperlink" Target="https://france-asf.fr/wp-content/uploads/2026/10/hos-frm-004.pdf" TargetMode="External"/><Relationship Id="rId27" Type="http://schemas.openxmlformats.org/officeDocument/2006/relationships/hyperlink" Target="https://www.who.int/news/item/02-05-2007-who-launches-nine-patient-safety-solutio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HOS-FRM-004: Handover record</dc:title>
  <dc:creator/>
  <cp:keywords/>
  <dcterms:created xsi:type="dcterms:W3CDTF">2026-10-28T21:34:35Z</dcterms:created>
  <dcterms:modified xsi:type="dcterms:W3CDTF">2026-10-28T21:34:35Z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