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HOS-FRM-006: წამლების შეჯერების ფორმა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წამლების შეჯერების ფორმა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HOS-FRM-006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HOS-FRM-006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S1.7</w:t>
      </w:r>
      <w:r/>
      <w:r/>
    </w:p>
    <w:bookmarkStart w:id="22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ადარებს პაციენტის საკუთარ წამლებს საავადმყოფოს სიასთან და ფიქსირებს თითოეულ გადაწყვეტილებას.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მიღებისას, გადაყვანისას და გაწერისას.</w:t>
      </w:r>
    </w:p>
    <w:p>
      <w:pPr>
        <w:numPr>
          <w:ilvl w:val="0"/>
          <w:numId w:val="1001"/>
        </w:numPr>
        <w:pStyle w:val="Compact"/>
      </w:pPr>
      <w:r>
        <w:t>ჩამოწერეთ ყველა წამალი და შეადარეთ სტრიქონ-სტრიქონ.</w:t>
      </w:r>
    </w:p>
    <w:p>
      <w:pPr>
        <w:numPr>
          <w:ilvl w:val="0"/>
          <w:numId w:val="1001"/>
        </w:numPr>
        <w:pStyle w:val="Compact"/>
      </w:pPr>
      <w:r>
        <w:t>სთხოვეთ დანიშნულების გამკეთებელს, გადაწყვიტოს თითოეული შეუსაბამობა და ჩაწეროთ გადაწყვეტილება.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პაციენტის საკუთარი წამლები ჩამოწერილია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შედარებულია საავადმყოფოს სიასთან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თითოეულ შეუსაბამობაზე არის დანიშნულების გამკეთებლის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გაწერის სია გადაეცა პაციენტს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6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02"/>
        </w:numPr>
        <w:pStyle w:val="Compact"/>
      </w:pPr>
      <w:r>
        <w:t>World Health Organization (2007). Nine patient safety solutions, including correct patient identification. Geneva: WHO.  (E-007)</w:t>
      </w:r>
      <w:r/>
      <w:hyperlink r:id="rId27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28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Standard 3: Medicines and Pain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3/" TargetMode="External"/><Relationship Id="rId28" Type="http://schemas.openxmlformats.org/officeDocument/2006/relationships/hyperlink" Target="https://france-asf.fr/wp-content/uploads/2026/10/hos-frm-006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3/" TargetMode="External"/><Relationship Id="rId28" Type="http://schemas.openxmlformats.org/officeDocument/2006/relationships/hyperlink" Target="https://france-asf.fr/wp-content/uploads/2026/10/hos-frm-006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HOS-FRM-006: Medicines reconciliation form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