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HOS-FRM-010: მოწყვლადობის ფლაგის ჩანაწერი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ფორმა</w:t>
            </w:r>
          </w:p>
          <w:p>
            <w:pPr>
              <w:pStyle w:val="Compact"/>
              <w:jc w:val="left"/>
            </w:pPr>
            <w:r>
              <w:t xml:space="preserve">მოწყვლადობის ფლაგის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HOS-FRM-010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სისტემა S1 (საავადმყოფო) › ფორმები</w:t>
        </w:r>
      </w:hyperlink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ფორმა · HOS-FRM-010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სისტემა S1 (საავადმყოფო), კრიტერიუმი S1.16</w:t>
      </w:r>
      <w:r>
        <w:t xml:space="preserve"/>
      </w:r>
      <w:r>
        <w:t xml:space="preserve"/>
      </w:r>
    </w:p>
    <w:bookmarkStart w:id="22" w:name="purpose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ფიქსირდება ფლაგი ბავშვებისთვის, შეზღუდული შესაძლებლობის მქონე პირებისა და ქმედუნარიანობის არმქონე პაციენტებისთვის, ასევე მკურნალობის გეგმაში არსებული დაცვის ზომები.</w:t>
      </w:r>
    </w:p>
    <w:bookmarkEnd w:id="22"/>
    <w:bookmarkStart w:id="23" w:name="how-to-complete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ჰოსპიტალიზაციისას დასვით დადგენილი კითხვები.</w:t>
      </w:r>
    </w:p>
    <w:p>
      <w:pPr>
        <w:numPr>
          <w:ilvl w:val="0"/>
          <w:numId w:val="1001"/>
        </w:numPr>
        <w:pStyle w:val="Compact"/>
      </w:pPr>
      <w:r>
        <w:t xml:space="preserve">მონიშნეთ ფლაგი იქ, სადაც ეს ეხება.</w:t>
      </w:r>
    </w:p>
    <w:p>
      <w:pPr>
        <w:numPr>
          <w:ilvl w:val="0"/>
          <w:numId w:val="1001"/>
        </w:numPr>
        <w:pStyle w:val="Compact"/>
      </w:pPr>
      <w:r>
        <w:t xml:space="preserve">ჩაწერეთ თითოეული დაცვის ზომა მკურნალობის გეგმაში.</w:t>
      </w:r>
    </w:p>
    <w:bookmarkEnd w:id="23"/>
    <w:bookmarkStart w:id="24" w:name="checks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ჰოსპიტალიზაციისას დასმული კითხვა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ფლაგი დაფიქსირებულია, სადაც ეს ეხება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დაცვაზე პასუხისმგებელი ხელმძღვანელი საჭიროებისამებრ ინფორმირებულია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დაცვის ზომა მკურნალობის გეგმაში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საწყისი გამოშვება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ამ დოკუმენტს ელექტრონული სწავლების კურსი ჯერ არ აქვს მიბმული.</w:t>
      </w:r>
    </w:p>
    <w:bookmarkEnd w:id="26"/>
    <w:bookmarkStart w:id="29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 (E-006)</w:t>
      </w:r>
      <w:r>
        <w:t xml:space="preserve"/>
      </w:r>
      <w:r>
        <w:t xml:space="preserve"/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System S1 (Hospital). (E-009)</w:t>
      </w:r>
      <w:r>
        <w:t xml:space="preserve"/>
      </w:r>
      <w:r>
        <w:t xml:space="preserve"/>
      </w:r>
    </w:p>
    <w:p>
      <w:pPr>
        <w:numPr>
          <w:ilvl w:val="0"/>
          <w:numId w:val="1002"/>
        </w:numPr>
        <w:pStyle w:val="Compact"/>
      </w:pPr>
      <w:r>
        <w:t xml:space="preserve">ASF Expert Committee (2026). Expert consensus. No external reference identified. (E-004)</w:t>
      </w:r>
      <w:r>
        <w:t xml:space="preserve"/>
      </w:r>
      <w:r>
        <w:t xml:space="preserve"/>
      </w:r>
    </w:p>
    <w:p>
      <w:pPr>
        <w:pStyle w:val="FirstParagraph"/>
      </w:pPr>
      <w:hyperlink r:id="rId27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p>
      <w:pPr>
        <w:pStyle w:val="BodyText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სტანდარტი 2: მართვა და უსაფრთხოების კულტურა</w:t>
        </w:r>
      </w:hyperlink>
    </w:p>
    <w:bookmarkEnd w:id="29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2/" TargetMode="External"/><Relationship Id="rId27" Type="http://schemas.openxmlformats.org/officeDocument/2006/relationships/hyperlink" Target="https://france-asf.fr/wp-content/uploads/2026/10/hos-frm-010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2/" TargetMode="External"/><Relationship Id="rId27" Type="http://schemas.openxmlformats.org/officeDocument/2006/relationships/hyperlink" Target="https://france-asf.fr/wp-content/uploads/2026/10/hos-frm-01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HOS-FRM-010: Vulnerability flag record</dc:title>
  <dc:creator/>
  <cp:keywords/>
  <dcterms:created xsi:type="dcterms:W3CDTF">2026-10-28T21:34:33Z</dcterms:created>
  <dcterms:modified xsi:type="dcterms:W3CDTF">2026-10-28T21:34:33Z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