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HOS-FRM-014: გათიშვის დროს რეცეპტისა და გაცემის ფორმა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გათიშვის დროს რეცეპტისა და გაცემის ფორმა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HOS-FRM-014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სისტემა S1 (საავადმყოფო) › ფორმები</w:t>
        </w:r>
      </w:hyperlink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HOS-FRM-014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სისტემა S1 (საავადმყოფო), კრიტერიუმი S1.22</w:t>
      </w:r>
      <w:r>
        <w:t xml:space="preserve"/>
      </w:r>
      <w:r>
        <w:t xml:space="preserve"/>
      </w:r>
    </w:p>
    <w:bookmarkStart w:id="22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ქაღალდის რეცეპტისა და გაცემის ჩანაწერი, რომელიც გამოიყენება ელექტრონული სისტემის გათიშვისას. იგი შეიცავს შემოწმებებს, რომლებსაც პროგრამა ჩვეულებრივ ასრულებს.</w:t>
      </w:r>
    </w:p>
    <w:bookmarkEnd w:id="22"/>
    <w:bookmarkStart w:id="23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გამოიყენეთ გათიშვის დროს ყოველი რეცეპტისთვის.</w:t>
      </w:r>
    </w:p>
    <w:p>
      <w:pPr>
        <w:numPr>
          <w:ilvl w:val="0"/>
          <w:numId w:val="1001"/>
        </w:numPr>
        <w:pStyle w:val="Compact"/>
      </w:pPr>
      <w:r>
        <w:t xml:space="preserve">ჩაატარეთ პროგრამული შემოწმებები ხელით და მონიშნეთ თითოეული.</w:t>
      </w:r>
    </w:p>
    <w:p>
      <w:pPr>
        <w:numPr>
          <w:ilvl w:val="0"/>
          <w:numId w:val="1001"/>
        </w:numPr>
        <w:pStyle w:val="Compact"/>
      </w:pPr>
      <w:r>
        <w:t xml:space="preserve">გასცემეთ ფორმის მიხედვით და შეამოწმეთ პრეპარატი.</w:t>
      </w:r>
    </w:p>
    <w:bookmarkEnd w:id="23"/>
    <w:bookmarkStart w:id="24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ალერგიები შემოწმებულია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წონა და თირკმლის ფუნქცია შემოწმებულია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ურთიერთქმედება შემოწმებულია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დოზა და მიღების გზა შემოწმებულია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დამოუკიდებელი შემოწმება მაღალი რისკის პრეპარატებისთვის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სისტემაში შეყვანილია მისი აღდგენისას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ამ დოკუმენტს ელექტრონული სწავლების კურსი ჯერ არ აქვს მიბმული.</w:t>
      </w:r>
    </w:p>
    <w:bookmarkEnd w:id="26"/>
    <w:bookmarkStart w:id="30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System S1 (Hospital). (E-009)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World Health Organization (2007). Nine patient safety solutions, including correct patient identification. Geneva: WHO. WHO-ის სიახლე (E-007)</w:t>
      </w:r>
      <w:r>
        <w:t xml:space="preserve"/>
      </w:r>
      <w:hyperlink r:id="rId27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</w:p>
    <w:p>
      <w:pPr>
        <w:pStyle w:val="FirstParagraph"/>
      </w:pPr>
      <w:hyperlink r:id="rId28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სტანდარტი 17: ფარმაცია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17/" TargetMode="External"/><Relationship Id="rId28" Type="http://schemas.openxmlformats.org/officeDocument/2006/relationships/hyperlink" Target="https://france-asf.fr/wp-content/uploads/2026/10/hos-frm-014.pdf" TargetMode="External"/><Relationship Id="rId27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17/" TargetMode="External"/><Relationship Id="rId28" Type="http://schemas.openxmlformats.org/officeDocument/2006/relationships/hyperlink" Target="https://france-asf.fr/wp-content/uploads/2026/10/hos-frm-014.pdf" TargetMode="External"/><Relationship Id="rId27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HOS-FRM-014: Downtime prescription and dispensing form</dc:title>
  <dc:creator/>
  <cp:keywords/>
  <dcterms:created xsi:type="dcterms:W3CDTF">2026-10-28T21:34:33Z</dcterms:created>
  <dcterms:modified xsi:type="dcterms:W3CDTF">2026-10-28T21:34:33Z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