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HOS-POL-001: მედიკამენტების მართვის პოლიტიკა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პოლიტიკა</w:t>
            </w:r>
          </w:p>
          <w:p>
            <w:pPr>
              <w:pStyle w:val="Compact"/>
              <w:jc w:val="left"/>
            </w:pPr>
            <w:r>
              <w:t>მედიკამენტების მართვის პოლიტიკა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HOS-POL-001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Policies</w:t>
        </w:r>
      </w:hyperlink>
    </w:p>
    <w:p>
      <w:pPr>
        <w:pStyle w:val="BodyText"/>
      </w:pPr>
      <w:r>
        <w:t>პოლიტიკა · HOS-POL-001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კრიტერიუმები S1.5, S1.6, S1.7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წამლები ინახება, კონტროლდება, მოწმდება და ხდება მათი რეკონსილიაცია ამ პოლიტიკის შესაბამისად.</w:t>
      </w:r>
    </w:p>
    <w:p>
      <w:pPr>
        <w:numPr>
          <w:ilvl w:val="0"/>
          <w:numId w:val="1001"/>
        </w:numPr>
        <w:pStyle w:val="Compact"/>
      </w:pPr>
      <w:r>
        <w:t>კონტროლირებადი წამლები ინახება ჩაკეტილად და ითვლება ყოველ ცვლაში.</w:t>
      </w:r>
    </w:p>
    <w:p>
      <w:pPr>
        <w:numPr>
          <w:ilvl w:val="0"/>
          <w:numId w:val="1001"/>
        </w:numPr>
        <w:pStyle w:val="Compact"/>
      </w:pPr>
      <w:r>
        <w:t>მაღალი რისკის წამლებს აქვთ მეორე შემოწმება.</w:t>
      </w:r>
    </w:p>
    <w:p>
      <w:pPr>
        <w:numPr>
          <w:ilvl w:val="0"/>
          <w:numId w:val="1001"/>
        </w:numPr>
        <w:pStyle w:val="Compact"/>
      </w:pPr>
      <w:r>
        <w:t>მედიკამენტების რეკონსილიაცია ხორციელდება მიღებისას, გადაყვანისას და გაწერისას.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საქმიანობა და გამოიძახეთ დახმარება, თუ: წამალი ეძლევა რეცეპტის გარეშე, ან კონტროლირებადი წამლის აღრიცხვა არ ემთხვევა.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საავადმყოფოში წამლებისთვის ერთიანი წესების დადგენა: შენახვა, კონტროლირებადი წამლები, მაღალი რისკის წამლები და რეკონსილიაცია (S1.5–S1.7). წამლით მიყენებული ზიანი WHO-ს „მედიკამენტები ზიანის გარეშე“ გამოწვევის პრიორიტეტული სფეროა.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პაციენტის საკუთარი წამლები ხშირად იცვლება ან იკარგება მიღებისა და გაწერისას. რეკონსილიაცია ყოველი ცვლილებისას ამის თავიდან ასაცილებლად ყველაზე უსაფრთხო გზაა.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მთავარი აღმასრულებელი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ამტკიცებს პოლიტიკას და იღებს წლიურ ანგარიშს</w:t>
            </w:r>
          </w:p>
        </w:tc>
        <w:tc>
          <w:tcPr/>
          <w:p>
            <w:pPr>
              <w:pStyle w:val="Compact"/>
              <w:jc w:val="left"/>
            </w:pPr>
            <w:r>
              <w:t>აღმასრულებელი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მთავარი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პასუხისმგებელია პოლიტიკასა და მარაგის წესებზე</w:t>
            </w:r>
          </w:p>
        </w:tc>
        <w:tc>
          <w:tcPr/>
          <w:p>
            <w:pPr>
              <w:pStyle w:val="Compact"/>
              <w:jc w:val="left"/>
            </w:pPr>
            <w:r>
              <w:t>ფარმაცევტი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პალატის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ზრუნავს, რომ პალატაში წესები დაცული იყოს</w:t>
            </w:r>
          </w:p>
        </w:tc>
        <w:tc>
          <w:tcPr/>
          <w:p>
            <w:pPr>
              <w:pStyle w:val="Compact"/>
              <w:jc w:val="left"/>
            </w:pPr>
            <w:r>
              <w:t>ექთნების მენეჯერი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შეინახეთ.</w:t>
      </w:r>
    </w:p>
    <w:p>
      <w:pPr>
        <w:numPr>
          <w:ilvl w:val="0"/>
          <w:numId w:val="1004"/>
        </w:numPr>
        <w:pStyle w:val="Compact"/>
      </w:pPr>
      <w:r>
        <w:t>ტემპერატურისა და ჩაკეტვისთვის მიჰყევით HOS-SOP-005-ს.</w:t>
      </w:r>
    </w:p>
    <w:p>
      <w:pPr>
        <w:pStyle w:val="FirstParagraph"/>
      </w:pPr>
      <w:r>
        <w:rPr>
          <w:bCs/>
          <w:b/>
        </w:rPr>
        <w:t>მთავარი: შენახვა პირველი ბარიერია.</w:t>
      </w:r>
      <w:r/>
      <w:r/>
    </w:p>
    <w:p>
      <w:pPr>
        <w:pStyle w:val="BodyText"/>
      </w:pPr>
      <w:r>
        <w:t>ნაბიჯი 2. აკონტროლეთ.</w:t>
      </w:r>
    </w:p>
    <w:p>
      <w:pPr>
        <w:numPr>
          <w:ilvl w:val="0"/>
          <w:numId w:val="1005"/>
        </w:numPr>
        <w:pStyle w:val="Compact"/>
      </w:pPr>
      <w:r>
        <w:t>კონტროლირებადი წამლებისთვის მიჰყევით HOS-REG-001-ს.</w:t>
      </w:r>
    </w:p>
    <w:p>
      <w:pPr>
        <w:pStyle w:val="FirstParagraph"/>
      </w:pPr>
      <w:r>
        <w:rPr>
          <w:bCs/>
          <w:b/>
        </w:rPr>
        <w:t>მთავარი: აღრიცხვა მოწმდება ყოველ ცვლაში.</w:t>
      </w:r>
      <w:r/>
      <w:r/>
    </w:p>
    <w:p>
      <w:pPr>
        <w:pStyle w:val="BodyText"/>
      </w:pPr>
      <w:r>
        <w:t>ნაბიჯი 3. დაიცავით მაღალი რისკის ზიანისგან.</w:t>
      </w:r>
    </w:p>
    <w:p>
      <w:pPr>
        <w:numPr>
          <w:ilvl w:val="0"/>
          <w:numId w:val="1006"/>
        </w:numPr>
        <w:pStyle w:val="Compact"/>
      </w:pPr>
      <w:r>
        <w:t>მაღალი რისკის წამლებისთვის მიჰყევით HOS-SOP-006-ს.</w:t>
      </w:r>
    </w:p>
    <w:p>
      <w:pPr>
        <w:pStyle w:val="FirstParagraph"/>
      </w:pPr>
      <w:r>
        <w:rPr>
          <w:bCs/>
          <w:b/>
        </w:rPr>
        <w:t>მთავარი: მაღალი რისკის დოზებისთვის ორი შემოწმება.</w:t>
      </w:r>
      <w:r/>
      <w:r/>
    </w:p>
    <w:p>
      <w:pPr>
        <w:pStyle w:val="BodyText"/>
      </w:pPr>
      <w:r>
        <w:t>ნაბიჯი 4. შეათანხმეთ.</w:t>
      </w:r>
    </w:p>
    <w:p>
      <w:pPr>
        <w:numPr>
          <w:ilvl w:val="0"/>
          <w:numId w:val="1007"/>
        </w:numPr>
        <w:pStyle w:val="Compact"/>
      </w:pPr>
      <w:r>
        <w:t>თითოეულ გადაყვანის წერტილში მიჰყევით HOS-SOP-007-ს.</w:t>
      </w:r>
    </w:p>
    <w:p>
      <w:pPr>
        <w:pStyle w:val="FirstParagraph"/>
      </w:pPr>
      <w:r>
        <w:rPr>
          <w:bCs/>
          <w:b/>
        </w:rPr>
        <w:t>მთავარი: შეათანხმეთ სია მის გამოყენებამდე.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9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კონტროლირებადი წამლების აღრიცხვა შეესაბამება რეგისტრს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ყოველი ცვლა</w:t>
            </w:r>
          </w:p>
        </w:tc>
        <w:tc>
          <w:tcPr/>
          <w:p>
            <w:pPr>
              <w:pStyle w:val="Compact"/>
              <w:jc w:val="left"/>
            </w:pPr>
            <w:r>
              <w:t>განყოფილების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ფარმაცევტთან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მაღალი რისკის დოზები მეორე შემოწმებით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მთავარი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სწავლება</w:t>
      </w:r>
    </w:p>
    <w:p>
      <w:pPr>
        <w:numPr>
          <w:ilvl w:val="0"/>
          <w:numId w:val="1010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6"/>
    <w:bookmarkStart w:id="40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HOS-SOP-005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წამლების შენახვა და ტემპერატურის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HOS-SOP-006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მაღალი რისკის წამლები</w:t>
            </w:r>
          </w:p>
        </w:tc>
        <w:tc>
          <w:tcPr/>
          <w:p>
            <w:pPr>
              <w:pStyle w:val="Compact"/>
              <w:jc w:val="left"/>
            </w:pPr>
            <w:r>
              <w:t>მაღალი რისკის წესები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HOS-SOP-007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მედიკამენტების რეკონსილიაცია</w:t>
            </w:r>
          </w:p>
        </w:tc>
        <w:tc>
          <w:tcPr/>
          <w:p>
            <w:pPr>
              <w:pStyle w:val="Compact"/>
              <w:jc w:val="left"/>
            </w:pPr>
            <w:r>
              <w:t>რეკონსილიაცია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E-007</w:t>
            </w:r>
          </w:p>
        </w:tc>
        <w:tc>
          <w:tcPr/>
          <w:p>
            <w:pPr>
              <w:pStyle w:val="Compact"/>
              <w:jc w:val="left"/>
            </w:pPr>
            <w:r>
              <w:t>WHO-ს ცხრა გადაწყვეტა პაციენტის უსაფრთხოებისთვის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მედიკამენტები ზიანის გარეშე, WHO 2017 (პაციენტის უსაფრთხოების მესამე გლობალური გამოწვევა).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42"/>
    <w:bookmarkStart w:id="46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1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1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11"/>
        </w:numPr>
        <w:pStyle w:val="Compact"/>
      </w:pPr>
      <w:r>
        <w:t>ჯანდაცვის მსოფლიო ორგანიზაცია (2007). პაციენტის უსაფრთხოების ცხრა გადაწყვეტა, მათ შორის პაციენტის სწორი იდენტიფიკაცია. ჟენევა: WHO.  (E-007)</w:t>
      </w:r>
      <w:r/>
      <w:hyperlink r:id="rId43">
        <w:r>
          <w:rPr>
            <w:rStyle w:val="Hyperlink"/>
          </w:rPr>
          <w:t xml:space="preserve">Open source</w:t>
        </w:r>
      </w:hyperlink>
      <w:r/>
      <w:r/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5">
        <w:r>
          <w:rPr>
            <w:rStyle w:val="Hyperlink"/>
          </w:rPr>
          <w:t xml:space="preserve">Standard 3: Medicines and Pain</w:t>
        </w:r>
      </w:hyperlink>
    </w:p>
    <w:bookmarkEnd w:id="46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sop-005/" TargetMode="External"/><Relationship Id="rId38" Type="http://schemas.openxmlformats.org/officeDocument/2006/relationships/hyperlink" Target="/documents/hos-sop-006/" TargetMode="External"/><Relationship Id="rId39" Type="http://schemas.openxmlformats.org/officeDocument/2006/relationships/hyperlink" Target="/documents/hos-sop-007/" TargetMode="External"/><Relationship Id="rId21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45" Type="http://schemas.openxmlformats.org/officeDocument/2006/relationships/hyperlink" Target="https://france-asf.fr/standards/standard-3/" TargetMode="External"/><Relationship Id="rId44" Type="http://schemas.openxmlformats.org/officeDocument/2006/relationships/hyperlink" Target="https://france-asf.fr/wp-content/uploads/2026/10/hos-pol-001-1.pdf" TargetMode="External"/><Relationship Id="rId43" Type="http://schemas.openxmlformats.org/officeDocument/2006/relationships/hyperlink" Target="https://www.who.int/news/item/02-05-2007-who-launches-nine-patient-safety-solution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sop-005/" TargetMode="External"/><Relationship Id="rId38" Type="http://schemas.openxmlformats.org/officeDocument/2006/relationships/hyperlink" Target="/documents/hos-sop-006/" TargetMode="External"/><Relationship Id="rId39" Type="http://schemas.openxmlformats.org/officeDocument/2006/relationships/hyperlink" Target="/documents/hos-sop-007/" TargetMode="External"/><Relationship Id="rId21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45" Type="http://schemas.openxmlformats.org/officeDocument/2006/relationships/hyperlink" Target="https://france-asf.fr/standards/standard-3/" TargetMode="External"/><Relationship Id="rId44" Type="http://schemas.openxmlformats.org/officeDocument/2006/relationships/hyperlink" Target="https://france-asf.fr/wp-content/uploads/2026/10/hos-pol-001-1.pdf" TargetMode="External"/><Relationship Id="rId43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HOS-POL-001: Medicines management policy</dc:title>
  <dc:creator/>
  <cp:keywords/>
  <dcterms:created xsi:type="dcterms:W3CDTF">2026-10-28T21:34:37Z</dcterms:created>
  <dcterms:modified xsi:type="dcterms:W3CDTF">2026-10-28T21:34:37Z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