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HOS-POL-002: აფთიაქის გაცემის პოლიტიკა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პოლიტიკა</w:t>
            </w:r>
          </w:p>
          <w:p>
            <w:pPr>
              <w:pStyle w:val="Compact"/>
              <w:jc w:val="left"/>
            </w:pPr>
            <w:r>
              <w:t>აფთიაქის გაცემის პოლიტიკა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HOS-POL-002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ცვლის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>სტანდარტები › სტანდარტი S1 › პოლიტიკები</w:t>
        </w:r>
      </w:hyperlink>
      <w:r/>
      <w:r/>
      <w:r/>
      <w:r/>
      <w:r/>
      <w:r/>
      <w:r/>
      <w:hyperlink r:id="rId21">
        <w:r>
          <w:rPr>
            <w:rStyle w:val="Hyperlink"/>
          </w:rPr>
        </w:r>
      </w:hyperlink>
    </w:p>
    <w:p>
      <w:pPr>
        <w:pStyle w:val="BodyText"/>
      </w:pPr>
      <w:r>
        <w:t>პოლიტიკა · HOS-POL-002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S1.15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ყოველი გაცემული საშუალება შემოწმდება რეცეპტთან მიმართებით.</w:t>
      </w:r>
    </w:p>
    <w:p>
      <w:pPr>
        <w:numPr>
          <w:ilvl w:val="0"/>
          <w:numId w:val="1001"/>
        </w:numPr>
        <w:pStyle w:val="Compact"/>
      </w:pPr>
      <w:r>
        <w:t>კვალიფიციური ფარმაცევტი პასუხისმგებელია ყოველ ჯერზე, როცა საავადმყოფო ღიაა.</w:t>
      </w:r>
    </w:p>
    <w:p>
      <w:pPr>
        <w:numPr>
          <w:ilvl w:val="0"/>
          <w:numId w:val="1001"/>
        </w:numPr>
        <w:pStyle w:val="Compact"/>
      </w:pPr>
      <w:r>
        <w:t>ყოველი გაცემის შეცდომა დააფიქსირეთ და განიხილეთ.</w:t>
      </w:r>
    </w:p>
    <w:p>
      <w:pPr>
        <w:numPr>
          <w:ilvl w:val="0"/>
          <w:numId w:val="1001"/>
        </w:numPr>
        <w:pStyle w:val="Compact"/>
      </w:pPr>
      <w:r>
        <w:t>სისტემის შეწყვეტისას გამოიყენეთ ქაღალდის მარშრუტი.</w:t>
      </w:r>
    </w:p>
    <w:p>
      <w:pPr>
        <w:numPr>
          <w:ilvl w:val="0"/>
          <w:numId w:val="1001"/>
        </w:numPr>
        <w:pStyle w:val="Compact"/>
      </w:pPr>
      <w:r>
        <w:t>დაუყოვნებლივ შეწყვიტეთ და დახმარება მოითხოვეთ, თუ: აფთიაქი ღიაა, პასუხისმგებელი ფარმაცევტის გარეშე.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გაცემის სიზუსტისა და პასუხისმგებლობის უზრუნველსაყოფად ყოველ საათში (S1.15).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ფარავს სხვა დოკუმენტი, ჩამოთვლილი 15-ე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იმ დროს ხელმძღვანელობს სივრცეს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გაცემის შეცდომები პაციენტებამდე აღწევს, როცა არავინ ამოწმებს რეცეპტს. დასახელებული პასუხისმგებელი ფარმაცევტი და დაფიქსირებული შეცდომები მომსახურებას უსაფრთხოს ხდის.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ფლობს პოლიტიკასა და გრაფიკს</w:t>
            </w:r>
          </w:p>
        </w:tc>
        <w:tc>
          <w:tcPr/>
          <w:p>
            <w:pPr>
              <w:pStyle w:val="Compact"/>
              <w:jc w:val="left"/>
            </w:pPr>
            <w:r>
              <w:t>ფარმაცევტი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გამცემი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ამოწმებს და აწერს ხელს თითოეულ საშუალებას</w:t>
            </w:r>
          </w:p>
        </w:tc>
        <w:tc>
          <w:tcPr/>
          <w:p>
            <w:pPr>
              <w:pStyle w:val="Compact"/>
              <w:jc w:val="left"/>
            </w:pPr>
            <w:r>
              <w:t>ფარმაცევტი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გამცემი ტექნიკოსი</w:t>
            </w:r>
          </w:p>
        </w:tc>
        <w:tc>
          <w:tcPr/>
          <w:p>
            <w:pPr>
              <w:pStyle w:val="Compact"/>
              <w:jc w:val="left"/>
            </w:pPr>
            <w:r>
              <w:t>ამზადებს საშუალებებს ფარმაცევტის კონტროლით</w:t>
            </w:r>
          </w:p>
        </w:tc>
        <w:tc>
          <w:tcPr/>
          <w:p>
            <w:pPr>
              <w:pStyle w:val="Compact"/>
              <w:jc w:val="left"/>
            </w:pPr>
            <w:r>
              <w:t>გადამზადებული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საშუალება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პაციენტს უშუალო რისკი ემუქრება, შეწყვიტეთ და დახმარება გამოიძახეთ. გადაუდებელი მკურნალობა არ გადადოთ საბუთების შესავსებად.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აქტუალურია.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შეამოწმეთ.</w:t>
      </w:r>
    </w:p>
    <w:p>
      <w:pPr>
        <w:numPr>
          <w:ilvl w:val="0"/>
          <w:numId w:val="1004"/>
        </w:numPr>
        <w:pStyle w:val="Compact"/>
      </w:pPr>
      <w:r>
        <w:t>თითოეული საშუალება შეადარეთ რეცეპტს, პაციენტს და დოზას.</w:t>
      </w:r>
    </w:p>
    <w:p>
      <w:pPr>
        <w:numPr>
          <w:ilvl w:val="0"/>
          <w:numId w:val="1004"/>
        </w:numPr>
        <w:pStyle w:val="Compact"/>
      </w:pPr>
      <w:r>
        <w:t>დააფიქსირეთ შემოწმება (HOS-FRM-009).</w:t>
      </w:r>
    </w:p>
    <w:p>
      <w:pPr>
        <w:pStyle w:val="FirstParagraph"/>
      </w:pPr>
      <w:r>
        <w:rPr>
          <w:bCs/>
          <w:b/>
        </w:rPr>
        <w:t>მთავარი აზრი: შემოწმება დაფიქსირებულია.</w:t>
      </w:r>
      <w:r/>
      <w:r/>
    </w:p>
    <w:p>
      <w:pPr>
        <w:pStyle w:val="BodyText"/>
      </w:pPr>
      <w:r>
        <w:t>ნაბიჯი 2. დააფიქსირეთ შეცდომები.</w:t>
      </w:r>
    </w:p>
    <w:p>
      <w:pPr>
        <w:numPr>
          <w:ilvl w:val="0"/>
          <w:numId w:val="1005"/>
        </w:numPr>
        <w:pStyle w:val="Compact"/>
      </w:pPr>
      <w:r>
        <w:t>ყოველი შეცდომა დააფიქსირეთ მიზეზით.</w:t>
      </w:r>
    </w:p>
    <w:p>
      <w:pPr>
        <w:numPr>
          <w:ilvl w:val="0"/>
          <w:numId w:val="1005"/>
        </w:numPr>
        <w:pStyle w:val="Compact"/>
      </w:pPr>
      <w:r>
        <w:t>შეცდომების ჟურნალი ყოველთვიურად განიხილეთ.</w:t>
      </w:r>
    </w:p>
    <w:p>
      <w:pPr>
        <w:pStyle w:val="FirstParagraph"/>
      </w:pPr>
      <w:r>
        <w:rPr>
          <w:bCs/>
          <w:b/>
        </w:rPr>
        <w:t>მთავარი აზრი: შეცდომები სწავლის წყაროა.</w:t>
      </w:r>
      <w:r/>
      <w:r/>
    </w:p>
    <w:p>
      <w:pPr>
        <w:pStyle w:val="BodyText"/>
      </w:pPr>
      <w:r>
        <w:t>ნაბიჯი 3. უზრუნველყავით საათები.</w:t>
      </w:r>
    </w:p>
    <w:p>
      <w:pPr>
        <w:numPr>
          <w:ilvl w:val="0"/>
          <w:numId w:val="1006"/>
        </w:numPr>
        <w:pStyle w:val="Compact"/>
      </w:pPr>
      <w:r>
        <w:t>ყოველი ღია პერიოდისთვის სამსახურის გრაფიკში ჰყავდეთ დასახელებული პასუხისმგებელი ფარმაცევტი.</w:t>
      </w:r>
    </w:p>
    <w:p>
      <w:pPr>
        <w:pStyle w:val="FirstParagraph"/>
      </w:pPr>
      <w:r>
        <w:rPr>
          <w:bCs/>
          <w:b/>
        </w:rPr>
        <w:t>მთავარი აზრი: ფარმაცევტის გარეშე ღია პერიოდი არ უნდა იყოს.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იმავე ნაბიჯებს. გამოიყენეთ სივრცის კედელზე მითითებული სამორიგეო საკონტაქტო მონაცემი.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8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იმავე დღეს კი —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საშუალებები დაფიქსირებული შემოწმებით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ღია პერიოდები პასუხისმგებელი ფარმაცევტით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სივრცის საქაღალდე</w:t>
            </w:r>
          </w:p>
        </w:tc>
        <w:tc>
          <w:tcPr/>
          <w:p>
            <w:pPr>
              <w:pStyle w:val="Compact"/>
              <w:jc w:val="left"/>
            </w:pPr>
            <w:r>
              <w:t>წლები, რომელსაც განსაზღვრავს დაწესებულების ჩანაწერების 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09"/>
        </w:numPr>
        <w:pStyle w:val="Compact"/>
      </w:pPr>
      <w:r>
        <w:t>პერსონალი ამ დოკუმენტში ვარჯიშობს დანიშვნისას და ყოველწლიურად ახლდება, კომპეტენციის დაფიქსირებული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>HOS-FRM-009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გაცემის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>HOS-FRM-014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შეწყვეტის პერიოდის რეცეპტისა და გაცემის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>ქაღალდის მარშრუტი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Medication Without Harm (WHO 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1"/>
    <w:bookmarkStart w:id="45" w:name="references"/>
    <w:p>
      <w:pPr>
        <w:pStyle w:val="Heading2"/>
      </w:pPr>
      <w:r>
        <w:t>მითითებები</w:t>
      </w:r>
    </w:p>
    <w:p>
      <w:pPr>
        <w:numPr>
          <w:ilvl w:val="0"/>
          <w:numId w:val="1010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0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0"/>
        </w:numPr>
        <w:pStyle w:val="Compact"/>
      </w:pPr>
      <w:r>
        <w:t>World Health Organization (2007). Nine patient safety solutions, including correct patient identification. Geneva: WHO. ღია წყარო (E-007)</w:t>
      </w:r>
      <w:r/>
      <w:hyperlink r:id="rId42">
        <w:r>
          <w:rPr>
            <w:rStyle w:val="Hyperlink"/>
          </w:rPr>
        </w:r>
      </w:hyperlink>
      <w:r/>
      <w:r/>
    </w:p>
    <w:p>
      <w:pPr>
        <w:pStyle w:val="FirstParagraph"/>
      </w:pPr>
      <w:hyperlink r:id="rId43">
        <w:r>
          <w:rPr>
            <w:rStyle w:val="Hyperlink"/>
          </w:rPr>
          <w:t>ჩამოტვირთეთ ეს დოკუმენტი PDF ფორმატში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1"/>
        </w:numPr>
        <w:pStyle w:val="Compact"/>
      </w:pPr>
      <w:hyperlink r:id="rId44">
        <w:r>
          <w:rPr>
            <w:rStyle w:val="Hyperlink"/>
          </w:rPr>
          <w:t>Standard 17: Pharmacy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09/" TargetMode="External"/><Relationship Id="rId38" Type="http://schemas.openxmlformats.org/officeDocument/2006/relationships/hyperlink" Target="/documents/hos-frm-014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17/" TargetMode="External"/><Relationship Id="rId43" Type="http://schemas.openxmlformats.org/officeDocument/2006/relationships/hyperlink" Target="https://france-asf.fr/wp-content/uploads/2026/10/hos-pol-002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09/" TargetMode="External"/><Relationship Id="rId38" Type="http://schemas.openxmlformats.org/officeDocument/2006/relationships/hyperlink" Target="/documents/hos-frm-014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17/" TargetMode="External"/><Relationship Id="rId43" Type="http://schemas.openxmlformats.org/officeDocument/2006/relationships/hyperlink" Target="https://france-asf.fr/wp-content/uploads/2026/10/hos-pol-002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HOS-POL-002: Pharmacy dispensing policy</dc:title>
  <dc:creator/>
  <cp:keywords/>
  <dcterms:created xsi:type="dcterms:W3CDTF">2026-10-28T21:34:36Z</dcterms:created>
  <dcterms:modified xsi:type="dcterms:W3CDTF">2026-10-28T21:34:36Z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