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HOS-REG-001: კონტროლირებადი საშუალებების რეესტრი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რეესტრი</w:t>
            </w:r>
          </w:p>
          <w:p>
            <w:pPr>
              <w:pStyle w:val="Compact"/>
              <w:jc w:val="left"/>
            </w:pPr>
            <w:r>
              <w:t>კონტროლირებადი საშუალებების რეესტრი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რეესტრები და ჟურნალები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რეესტრი · HOS-REG-001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S1.5</w:t>
      </w:r>
      <w:r/>
      <w:r/>
    </w:p>
    <w:bookmarkStart w:id="22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აფიქსირებს კონტროლირებადი საშუალების ყოველ მიღებას, მომარაგებასა და გაცემას; ყოველი ცვლის შეცვლისას ითვლის რაოდენობას.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ყოველი ჩანაწერი დააფიქსირეთ მის მომხდარ დროს.</w:t>
      </w:r>
    </w:p>
    <w:p>
      <w:pPr>
        <w:numPr>
          <w:ilvl w:val="0"/>
          <w:numId w:val="1001"/>
        </w:numPr>
        <w:pStyle w:val="Compact"/>
      </w:pPr>
      <w:r>
        <w:t>დათვალეთ და მოაწერეთ ხელი ყოველი ცვლის შეცვლისას.</w:t>
      </w:r>
    </w:p>
    <w:p>
      <w:pPr>
        <w:numPr>
          <w:ilvl w:val="0"/>
          <w:numId w:val="1001"/>
        </w:numPr>
        <w:pStyle w:val="Compact"/>
      </w:pPr>
      <w:r>
        <w:t>ნებისმიერი განსხვავება დაუყოვნებლივ შეატყობინეთ.</w:t>
      </w:r>
    </w:p>
    <w:bookmarkEnd w:id="23"/>
    <w:bookmarkStart w:id="24" w:name="record-fields"/>
    <w:p>
      <w:pPr>
        <w:pStyle w:val="Heading2"/>
      </w:pPr>
      <w:r>
        <w:t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თარიღი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>საშუალება და დოზირება</w:t>
            </w:r>
          </w:p>
        </w:tc>
        <w:tc>
          <w:tcPr/>
          <w:p>
            <w:pPr>
              <w:pStyle w:val="Compact"/>
              <w:jc w:val="left"/>
            </w:pPr>
            <w:r>
              <w:t>მიღებულია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გაცემულია</w:t>
            </w:r>
          </w:p>
        </w:tc>
        <w:tc>
          <w:tcPr/>
          <w:p>
            <w:pPr>
              <w:pStyle w:val="Compact"/>
              <w:jc w:val="left"/>
            </w:pPr>
            <w:r>
              <w:t>ბალანსი</w:t>
            </w:r>
          </w:p>
        </w:tc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/>
          <w:p>
            <w:pPr>
              <w:pStyle w:val="Compact"/>
              <w:jc w:val="left"/>
            </w:pPr>
            <w:r>
              <w:t>მოწმე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განისაზღვრება ეროვნული კონტროლირებადი საშუალებების წესებით.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26"/>
    <w:bookmarkStart w:id="29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7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>Standard 3: Medicines and Pain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3/" TargetMode="External"/><Relationship Id="rId27" Type="http://schemas.openxmlformats.org/officeDocument/2006/relationships/hyperlink" Target="https://france-asf.fr/wp-content/uploads/2026/10/hos-reg-00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3/" TargetMode="External"/><Relationship Id="rId27" Type="http://schemas.openxmlformats.org/officeDocument/2006/relationships/hyperlink" Target="https://france-asf.fr/wp-content/uploads/2026/10/hos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HOS-REG-001: Controlled drugs register</dc:title>
  <dc:creator/>
  <cp:keywords/>
  <dcterms:created xsi:type="dcterms:W3CDTF">2026-10-28T21:34:35Z</dcterms:created>
  <dcterms:modified xsi:type="dcterms:W3CDTF">2026-10-28T21:34:35Z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