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HOS-REG-003: გაწერის შემდგომი კონტროლის რეგისტრი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რეგისტრი</w:t>
            </w:r>
          </w:p>
          <w:p>
            <w:pPr>
              <w:pStyle w:val="Compact"/>
              <w:jc w:val="left"/>
            </w:pPr>
            <w:r>
              <w:t xml:space="preserve">გაწერის შემდგომი კონტროლის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HOS-REG-003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სისტემა S1 (საავადმყოფო) › რეგისტრები და ჟურნალები</w:t>
        </w:r>
      </w:hyperlink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რეგისტრი · HOS-REG-003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სისტემა S1 (საავადმყოფო), კრიტერიუმი S1.11</w:t>
      </w:r>
      <w:r>
        <w:t xml:space="preserve"/>
      </w:r>
      <w:r>
        <w:t xml:space="preserve"/>
      </w:r>
    </w:p>
    <w:bookmarkStart w:id="22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ფიქსირდება მაღალი რისკის პაციენტის ყოველი კონტროლი და მისი შედეგი.</w:t>
      </w:r>
    </w:p>
    <w:bookmarkEnd w:id="22"/>
    <w:bookmarkStart w:id="23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გაწერისას შეიტანეთ ყოველი მაღალი რისკის პაციენტი.</w:t>
      </w:r>
    </w:p>
    <w:p>
      <w:pPr>
        <w:numPr>
          <w:ilvl w:val="0"/>
          <w:numId w:val="1001"/>
        </w:numPr>
        <w:pStyle w:val="Compact"/>
      </w:pPr>
      <w:r>
        <w:t xml:space="preserve">დააფიქსირეთ ყოველი კონტროლი მის შედეგთან ერთად.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 პრობლემაზე იმავე დღეს იმოქმედეთ.</w:t>
      </w:r>
    </w:p>
    <w:bookmarkEnd w:id="23"/>
    <w:bookmarkStart w:id="24" w:name="record-fields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პაციენტის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გაწერის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დაკმაყოფილებული რისკის კრიტერიუმები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კონტროლის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მეთოდი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პრობლემა და მოქმედება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ამ დოკუმენტს ელექტრონული სწავლების კურსი ჯერ არ აქვს მიბმული.</w:t>
      </w:r>
    </w:p>
    <w:bookmarkEnd w:id="26"/>
    <w:bookmarkStart w:id="29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System S1 (Hospital). (E-009)</w:t>
      </w:r>
      <w:r>
        <w:t xml:space="preserve"/>
      </w:r>
      <w:r>
        <w:t xml:space="preserve"/>
      </w:r>
    </w:p>
    <w:p>
      <w:pPr>
        <w:pStyle w:val="FirstParagraph"/>
      </w:pPr>
      <w:hyperlink r:id="rId27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42: მოვლა, კონტროლი და უსაფრთხოება გაწერის შემდეგ</w:t>
        </w:r>
      </w:hyperlink>
    </w:p>
    <w:bookmarkEnd w:id="29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2/" TargetMode="External"/><Relationship Id="rId27" Type="http://schemas.openxmlformats.org/officeDocument/2006/relationships/hyperlink" Target="https://france-asf.fr/wp-content/uploads/2026/10/hos-reg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2/" TargetMode="External"/><Relationship Id="rId27" Type="http://schemas.openxmlformats.org/officeDocument/2006/relationships/hyperlink" Target="https://france-asf.fr/wp-content/uploads/2026/10/hos-reg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HOS-REG-003: Post-discharge follow-up register</dc:title>
  <dc:creator/>
  <cp:keywords/>
  <dcterms:created xsi:type="dcterms:W3CDTF">2026-10-28T21:34:34Z</dcterms:created>
  <dcterms:modified xsi:type="dcterms:W3CDTF">2026-10-28T21:34:34Z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