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HOS-SOP-004: სტრუქტურირებული ზეპირი მიბარება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სტრუქტურირებული ზეპირი მიბარება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HOS-SOP-004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ცვლის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>სტანდარტები › სტანდარტი S1 › სტანდარტული საოპერაციო პროცედურები (SOP)</w:t>
        </w:r>
      </w:hyperlink>
      <w:r/>
      <w:r/>
      <w:r/>
      <w:r/>
      <w:r/>
      <w:r/>
      <w:r/>
      <w:hyperlink r:id="rId21">
        <w:r>
          <w:rPr>
            <w:rStyle w:val="Hyperlink"/>
          </w:rPr>
        </w:r>
      </w:hyperlink>
    </w:p>
    <w:p>
      <w:pPr>
        <w:pStyle w:val="BodyText"/>
      </w:pPr>
      <w:r>
        <w:t>სტანდარტული საოპერაციო პროცედურა (SOP) · HOS-SOP-004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S1.4</w:t>
      </w:r>
      <w:r/>
      <w:r/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გუნდებსა და ცვლებს შორის ყოველი მიბარებისთვის გამოიყენეთ დასახელებული სტრუქტურირებული ინსტრუმენტი.</w:t>
      </w:r>
    </w:p>
    <w:p>
      <w:pPr>
        <w:numPr>
          <w:ilvl w:val="0"/>
          <w:numId w:val="1001"/>
        </w:numPr>
        <w:pStyle w:val="Compact"/>
      </w:pPr>
      <w:r>
        <w:t>მიბარება განახორციელეთ ზეპირად, პირისპირ ან ტელეფონით.</w:t>
      </w:r>
    </w:p>
    <w:p>
      <w:pPr>
        <w:numPr>
          <w:ilvl w:val="0"/>
          <w:numId w:val="1001"/>
        </w:numPr>
        <w:pStyle w:val="Compact"/>
      </w:pPr>
      <w:r>
        <w:t>მიმღები სვამს შეკითხვებს და უკუკავშირით ადასტურებს გეგმას.</w:t>
      </w:r>
    </w:p>
    <w:p>
      <w:pPr>
        <w:numPr>
          <w:ilvl w:val="0"/>
          <w:numId w:val="1001"/>
        </w:numPr>
        <w:pStyle w:val="Compact"/>
      </w:pPr>
      <w:r>
        <w:t>დააფიქსირეთ მიბარება, გადამცემი და მიმღები.</w:t>
      </w:r>
    </w:p>
    <w:p>
      <w:pPr>
        <w:numPr>
          <w:ilvl w:val="0"/>
          <w:numId w:val="1001"/>
        </w:numPr>
        <w:pStyle w:val="Compact"/>
      </w:pPr>
      <w:r>
        <w:t>დაუყოვნებლივ შეწყვიტეთ და დახმარება მოითხოვეთ, თუ: პაციენტი გადადის გუნდებს შორის მიბარების გარეშე.</w:t>
      </w:r>
    </w:p>
    <w:bookmarkStart w:id="22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 უზრუნველსაყოფად, რომ მკურნალობის ყოველი გადაცემა გუნდებსა თუ ცვლებს შორის სრულია, გასაგებია და დადასტურებულია (S1.4).</w:t>
      </w:r>
    </w:p>
    <w:bookmarkEnd w:id="22"/>
    <w:bookmarkStart w:id="23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ფარავს სხვა დოკუმენტი, ჩამოთვლილი 15-ე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იმ დროს ხელმძღვანელობს სივრცეს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არასტრუქტურირებული მიბარებისას ინფორმაცია იკარგება. სტრუქტურირებული მიბარება, კითხვებისთვის საკმარისი დროით, ინახავს გეგმასა და რისკებს.</w:t>
      </w:r>
    </w:p>
    <w:bookmarkEnd w:id="25"/>
    <w:bookmarkStart w:id="26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გადამცემი</w:t>
            </w:r>
          </w:p>
        </w:tc>
        <w:tc>
          <w:tcPr/>
          <w:p>
            <w:pPr>
              <w:pStyle w:val="Compact"/>
              <w:jc w:val="left"/>
            </w:pPr>
            <w:r>
              <w:t>ატარებს სტრუქტურირებულ მიბარებას; პასუხობს კითხვებს</w:t>
            </w:r>
          </w:p>
        </w:tc>
        <w:tc>
          <w:tcPr/>
          <w:p>
            <w:pPr>
              <w:pStyle w:val="Compact"/>
              <w:jc w:val="left"/>
            </w:pPr>
            <w:r>
              <w:t>გადამზადებული ინსტრუმენტზე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მიმღები</w:t>
            </w:r>
          </w:p>
        </w:tc>
        <w:tc>
          <w:tcPr/>
          <w:p>
            <w:pPr>
              <w:pStyle w:val="Compact"/>
              <w:jc w:val="left"/>
            </w:pPr>
            <w:r>
              <w:t>სვამს შეკითხვებს; ადასტურებს გეგმას უკუკავშირით</w:t>
            </w:r>
          </w:p>
        </w:tc>
        <w:tc>
          <w:tcPr/>
          <w:p>
            <w:pPr>
              <w:pStyle w:val="Compact"/>
              <w:jc w:val="left"/>
            </w:pPr>
            <w:r>
              <w:t>გადამზადებული ინსტრუმენტზე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საშუალება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დასახელებული სტრუქტურირებული მიბარების ინსტრუმენტი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>მიბარების ყოველი სივრცის კედელზე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პაციენტს უშუალო რისკი ემუქრება, შეწყვიტეთ და დახმარება გამოიძახეთ. გადაუდებელი მკურნალობა არ გადადოთ საბუთების შესავსებად.</w:t>
      </w:r>
    </w:p>
    <w:bookmarkEnd w:id="28"/>
    <w:bookmarkStart w:id="29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აქტუალურია.</w:t>
      </w:r>
    </w:p>
    <w:bookmarkEnd w:id="29"/>
    <w:bookmarkStart w:id="30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მოემზადეთ.</w:t>
      </w:r>
    </w:p>
    <w:p>
      <w:pPr>
        <w:numPr>
          <w:ilvl w:val="0"/>
          <w:numId w:val="1004"/>
        </w:numPr>
        <w:pStyle w:val="Compact"/>
      </w:pPr>
      <w:r>
        <w:t>მიბარებამდე გადახედეთ ჩანაწერს და მიმდინარე რისკებს.</w:t>
      </w:r>
    </w:p>
    <w:p>
      <w:pPr>
        <w:pStyle w:val="FirstParagraph"/>
      </w:pPr>
      <w:r>
        <w:rPr>
          <w:bCs/>
          <w:b/>
        </w:rPr>
        <w:t>მთავარი აზრი: მომზადება ამცირებს დროს.</w:t>
      </w:r>
      <w:r/>
      <w:r/>
    </w:p>
    <w:p>
      <w:pPr>
        <w:pStyle w:val="BodyText"/>
      </w:pPr>
      <w:r>
        <w:t>ნაბიჯი 2. განახორციელეთ მიბარება.</w:t>
      </w:r>
    </w:p>
    <w:p>
      <w:pPr>
        <w:numPr>
          <w:ilvl w:val="0"/>
          <w:numId w:val="1005"/>
        </w:numPr>
        <w:pStyle w:val="Compact"/>
      </w:pPr>
      <w:r>
        <w:t>მოიცავს პაციენტს, მდგომარეობას, საფუძვლებს, შეფასებას და გეგმას ინსტრუმენტის თანმიმდევრობით.</w:t>
      </w:r>
    </w:p>
    <w:p>
      <w:pPr>
        <w:pStyle w:val="FirstParagraph"/>
      </w:pPr>
      <w:r>
        <w:rPr>
          <w:bCs/>
          <w:b/>
        </w:rPr>
        <w:t>მთავარი აზრი: გამოიყენეთ ინსტრუმენტი ყოველ ჯერზე, მაშინაც კი, როცა დატვირთულები ხართ.</w:t>
      </w:r>
      <w:r/>
      <w:r/>
    </w:p>
    <w:p>
      <w:pPr>
        <w:pStyle w:val="BodyText"/>
      </w:pPr>
      <w:r>
        <w:t>ნაბიჯი 3. მიიღეთ და დასვით შეკითხვები.</w:t>
      </w:r>
    </w:p>
    <w:p>
      <w:pPr>
        <w:numPr>
          <w:ilvl w:val="0"/>
          <w:numId w:val="1006"/>
        </w:numPr>
        <w:pStyle w:val="Compact"/>
      </w:pPr>
      <w:r>
        <w:t>დასვით მინიმუმ ერთი შეკითხვა.</w:t>
      </w:r>
    </w:p>
    <w:p>
      <w:pPr>
        <w:numPr>
          <w:ilvl w:val="0"/>
          <w:numId w:val="1006"/>
        </w:numPr>
        <w:pStyle w:val="Compact"/>
      </w:pPr>
      <w:r>
        <w:t>გაიმეორეთ გეგმა და რისკები.</w:t>
      </w:r>
    </w:p>
    <w:p>
      <w:pPr>
        <w:pStyle w:val="FirstParagraph"/>
      </w:pPr>
      <w:r>
        <w:rPr>
          <w:bCs/>
          <w:b/>
        </w:rPr>
        <w:t>მთავარი აზრი: მიბარება, რომელშიც შეკითხვა არ დასმულა, დასრულებულად არ ითვლება.</w:t>
      </w:r>
      <w:r/>
      <w:r/>
    </w:p>
    <w:p>
      <w:pPr>
        <w:pStyle w:val="BodyText"/>
      </w:pPr>
      <w:r>
        <w:t>ნაბიჯი 4. დააფიქსირეთ.</w:t>
      </w:r>
    </w:p>
    <w:p>
      <w:pPr>
        <w:numPr>
          <w:ilvl w:val="0"/>
          <w:numId w:val="1007"/>
        </w:numPr>
        <w:pStyle w:val="Compact"/>
      </w:pPr>
      <w:r>
        <w:t>მიბარება დააფიქსირეთ HOS-FRM-004-ზე, ორივე სახელითა და დროით.</w:t>
      </w:r>
    </w:p>
    <w:p>
      <w:pPr>
        <w:pStyle w:val="FirstParagraph"/>
      </w:pPr>
      <w:r>
        <w:rPr>
          <w:bCs/>
          <w:b/>
        </w:rPr>
        <w:t>მთავარი აზრი: ჩანაწერი აჩვენებს, ვინ არის ახლა პაციენტის პასუხისმგებელი.</w:t>
      </w:r>
      <w:r/>
      <w:r/>
    </w:p>
    <w:bookmarkEnd w:id="30"/>
    <w:bookmarkStart w:id="31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1"/>
    <w:bookmarkStart w:id="32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იმავე ნაბიჯებს. გამოიყენეთ სივრცის კედელზე მითითებული სამორიგეო საკონტაქტო მონაცემი.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9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იმავე დღეს კი — კლინიკურ დირექტორს.</w:t>
      </w:r>
    </w:p>
    <w:bookmarkEnd w:id="33"/>
    <w:bookmarkStart w:id="34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გადაცემები დაფიქსირებული მიბარებით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განყოფილების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დაკვირვებული მიბარებები ინსტრუმენტის გამოყენებით</w:t>
            </w:r>
          </w:p>
        </w:tc>
        <w:tc>
          <w:tcPr/>
          <w:p>
            <w:pPr>
              <w:pStyle w:val="Compact"/>
              <w:jc w:val="left"/>
            </w:pPr>
            <w:r>
              <w:t>მინიმუმ 70%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მართვის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გუნდს გადაამზადეთ თავიდან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სივრცის საქაღალდე</w:t>
            </w:r>
          </w:p>
        </w:tc>
        <w:tc>
          <w:tcPr/>
          <w:p>
            <w:pPr>
              <w:pStyle w:val="Compact"/>
              <w:jc w:val="left"/>
            </w:pPr>
            <w:r>
              <w:t>წლები, რომელსაც განსაზღვრავს დაწესებულების ჩანაწერების პოლიტიკა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10"/>
        </w:numPr>
        <w:pStyle w:val="Compact"/>
      </w:pPr>
      <w:r>
        <w:t>პერსონალი ამ დოკუმენტში ვარჯიშობს დანიშვნისას და ყოველწლიურად ახლდება, კომპეტენციის დაფიქსირებული შემოწმებით.</w:t>
      </w:r>
    </w:p>
    <w:bookmarkEnd w:id="36"/>
    <w:bookmarkStart w:id="38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>HOS-FRM-004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მიბარების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 გამოიყენება მეოთხე ნაბიჯზე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8"/>
    <w:bookmarkStart w:id="39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E-007</w:t>
            </w:r>
          </w:p>
        </w:tc>
        <w:tc>
          <w:tcPr/>
          <w:p>
            <w:pPr>
              <w:pStyle w:val="Compact"/>
              <w:jc w:val="left"/>
            </w:pPr>
            <w:r>
              <w:t>WHO Nine patient safety solutions (2007): communication during handovers.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ჯერ არ არის დაკავშირებული ელექტრონული კურსი.</w:t>
      </w:r>
    </w:p>
    <w:bookmarkEnd w:id="40"/>
    <w:bookmarkStart w:id="44" w:name="references"/>
    <w:p>
      <w:pPr>
        <w:pStyle w:val="Heading2"/>
      </w:pPr>
      <w:r>
        <w:t>მითითებები</w:t>
      </w:r>
    </w:p>
    <w:p>
      <w:pPr>
        <w:numPr>
          <w:ilvl w:val="0"/>
          <w:numId w:val="1011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1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numPr>
          <w:ilvl w:val="0"/>
          <w:numId w:val="1011"/>
        </w:numPr>
        <w:pStyle w:val="Compact"/>
      </w:pPr>
      <w:r>
        <w:t>World Health Organization (2007). Nine patient safety solutions, including correct patient identification. Geneva: WHO. ღია წყარო (E-007)</w:t>
      </w:r>
      <w:r/>
      <w:hyperlink r:id="rId41">
        <w:r>
          <w:rPr>
            <w:rStyle w:val="Hyperlink"/>
          </w:rPr>
        </w:r>
      </w:hyperlink>
      <w:r/>
      <w:r/>
    </w:p>
    <w:p>
      <w:pPr>
        <w:pStyle w:val="FirstParagraph"/>
      </w:pPr>
      <w:hyperlink r:id="rId42">
        <w:r>
          <w:rPr>
            <w:rStyle w:val="Hyperlink"/>
          </w:rPr>
          <w:t>ჩამოტვირთეთ ეს დოკუმენტი PDF ფორმატში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2"/>
        </w:numPr>
        <w:pStyle w:val="Compact"/>
      </w:pPr>
      <w:hyperlink r:id="rId43">
        <w:r>
          <w:rPr>
            <w:rStyle w:val="Hyperlink"/>
          </w:rPr>
          <w:t>Standard 63: Safe Handover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frm-004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63/" TargetMode="External"/><Relationship Id="rId42" Type="http://schemas.openxmlformats.org/officeDocument/2006/relationships/hyperlink" Target="https://france-asf.fr/wp-content/uploads/2026/10/hos-sop-004-1.pdf" TargetMode="External"/><Relationship Id="rId41" Type="http://schemas.openxmlformats.org/officeDocument/2006/relationships/hyperlink" Target="https://www.who.int/news/item/02-05-2007-who-launches-nine-patient-safety-solutions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frm-004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63/" TargetMode="External"/><Relationship Id="rId42" Type="http://schemas.openxmlformats.org/officeDocument/2006/relationships/hyperlink" Target="https://france-asf.fr/wp-content/uploads/2026/10/hos-sop-004-1.pdf" TargetMode="External"/><Relationship Id="rId41" Type="http://schemas.openxmlformats.org/officeDocument/2006/relationships/hyperlink" Target="https://www.who.int/news/item/02-05-2007-who-launches-nine-patient-safety-solu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HOS-SOP-004: Structured verbal handover</dc:title>
  <dc:creator/>
  <cp:keywords/>
  <dcterms:created xsi:type="dcterms:W3CDTF">2026-10-28T21:34:37Z</dcterms:created>
  <dcterms:modified xsi:type="dcterms:W3CDTF">2026-10-28T21:34:37Z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