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HOS-SOP-006: მაღალი რისკის მედიკამენტები</w:t>
      </w:r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მაღალი რისკის მედიკამენტები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HOS-SOP-006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Standard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S1.6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გამოიყენეთ მაღალი რისკის მედიკამენტების საავადმყოფოს სია.</w:t>
      </w:r>
    </w:p>
    <w:p>
      <w:pPr>
        <w:numPr>
          <w:ilvl w:val="0"/>
          <w:numId w:val="1001"/>
        </w:numPr>
        <w:pStyle w:val="Compact"/>
      </w:pPr>
      <w:r>
        <w:t>ყოველ მაღალი რისკის დოზას აქვს დამოუკიდებელი მეორე შემოწმება.</w:t>
      </w:r>
    </w:p>
    <w:p>
      <w:pPr>
        <w:numPr>
          <w:ilvl w:val="0"/>
          <w:numId w:val="1001"/>
        </w:numPr>
        <w:pStyle w:val="Compact"/>
      </w:pPr>
      <w:r>
        <w:t>კონცენტრირებული ელექტროლიტები და ინსულინი ზოგადი მარაგისგან ცალკე შეინახეთ.</w:t>
      </w:r>
    </w:p>
    <w:p>
      <w:pPr>
        <w:numPr>
          <w:ilvl w:val="0"/>
          <w:numId w:val="1001"/>
        </w:numPr>
        <w:pStyle w:val="Compact"/>
      </w:pPr>
      <w:r>
        <w:t>კონცენტრირებული ელექტროლიტები ყოველ პალატაში მონიშნეთ როგორც მაღალი რისკის.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მაღალი რისკის დოზა გაიცა მეორე შემოწმების გარეშე.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მედიკამენტებისგან სერიოზული ზიანის თავიდან ასაცილებლად, რომლებიც შეცდომის შემთხვევაში მაღალ რისკს ატარებს (S1.6).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რისკის მედიკამენტი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მედიკამენტი, რომელმაც შეიძლება სერიოზული ზიანი მიაყენოს შეცდომით მიცემისას, საავადმყოფოს სიიდან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მეორე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დოზის, პრეპარატისა და პაციენტის დამოუკიდებელი შემოწმება მეორე გადამზადებული პირის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მაღალი რისკის მედიკამენტები სერიოზულ ზიანს აყენებს, როდესაც არასწორად ეძლევა. დამატებითი დამოუკიდებელი შემოწმება და ცალკე შენახვა ყველაზე გავრცელებულ შეცდომებს თავიდან აგვაცილებს.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დანიშვნის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>დოზას ნათლად წერს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მედდა, რომელიც დოზას აძლევს</w:t>
            </w:r>
          </w:p>
        </w:tc>
        <w:tc>
          <w:tcPr/>
          <w:p>
            <w:pPr>
              <w:pStyle w:val="Compact"/>
              <w:jc w:val="left"/>
            </w:pPr>
            <w:r>
              <w:t>ითხოვს მეორე შემოწმებას; აძლევს დოზას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მეორე შემმოწმებელი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დამოუკიდებლად და აღრიცხავს შემოწმებას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საავადმყოფოს მაღალი რისკის სია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გამოკრულია ყოველ პალატაში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კონცენტრირებული ელექტროლიტებისა და ინსულინის ცალკე შენახვა</w:t>
            </w:r>
          </w:p>
        </w:tc>
        <w:tc>
          <w:tcPr/>
          <w:p>
            <w:pPr>
              <w:pStyle w:val="Compact"/>
              <w:jc w:val="left"/>
            </w:pPr>
            <w:r>
              <w:t>არსებობს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სვლის დროს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დაადგინეთ.</w:t>
      </w:r>
    </w:p>
    <w:p>
      <w:pPr>
        <w:numPr>
          <w:ilvl w:val="0"/>
          <w:numId w:val="1004"/>
        </w:numPr>
        <w:pStyle w:val="Compact"/>
      </w:pPr>
      <w:r>
        <w:t>შეამოწმეთ მედიკამენტი მაღალი რისკის სიასთან.</w:t>
      </w:r>
    </w:p>
    <w:p>
      <w:pPr>
        <w:pStyle w:val="FirstParagraph"/>
      </w:pPr>
      <w:r>
        <w:rPr>
          <w:bCs/>
          <w:b/>
        </w:rPr>
        <w:t>მთავარი დებულება: თუ ის სიაშია, მოქმედებს მეორე შემოწმება.</w:t>
      </w:r>
      <w:r/>
      <w:r/>
    </w:p>
    <w:p>
      <w:pPr>
        <w:pStyle w:val="BodyText"/>
      </w:pPr>
      <w:r>
        <w:t>ეტაპი 2. მეორე შემოწმება.</w:t>
      </w:r>
    </w:p>
    <w:p>
      <w:pPr>
        <w:numPr>
          <w:ilvl w:val="0"/>
          <w:numId w:val="1005"/>
        </w:numPr>
        <w:pStyle w:val="Compact"/>
      </w:pPr>
      <w:r>
        <w:t>მეორე გადამზადებული პირი ამოწმებს პრეპარატს, დოზას, მიღების გზასა და პაციენტს.</w:t>
      </w:r>
    </w:p>
    <w:p>
      <w:pPr>
        <w:numPr>
          <w:ilvl w:val="0"/>
          <w:numId w:val="1005"/>
        </w:numPr>
        <w:pStyle w:val="Compact"/>
      </w:pPr>
      <w:r>
        <w:t>ორივე ხელს აწერს ჩანაწერზე.</w:t>
      </w:r>
    </w:p>
    <w:p>
      <w:pPr>
        <w:pStyle w:val="FirstParagraph"/>
      </w:pPr>
      <w:r>
        <w:rPr>
          <w:bCs/>
          <w:b/>
        </w:rPr>
        <w:t>მთავარი დებულება: მეორე შემოწმება დამოუკიდებელია და არა ზედაპირული თვალიერება.</w:t>
      </w:r>
      <w:r/>
      <w:r/>
    </w:p>
    <w:p>
      <w:pPr>
        <w:pStyle w:val="BodyText"/>
      </w:pPr>
      <w:r>
        <w:t>ეტაპი 3. მიეცით და აღრიცხეთ.</w:t>
      </w:r>
    </w:p>
    <w:p>
      <w:pPr>
        <w:numPr>
          <w:ilvl w:val="0"/>
          <w:numId w:val="1006"/>
        </w:numPr>
        <w:pStyle w:val="Compact"/>
      </w:pPr>
      <w:r>
        <w:t>მიეცით დოზა.</w:t>
      </w:r>
    </w:p>
    <w:p>
      <w:pPr>
        <w:numPr>
          <w:ilvl w:val="0"/>
          <w:numId w:val="1006"/>
        </w:numPr>
        <w:pStyle w:val="Compact"/>
      </w:pPr>
      <w:r>
        <w:t>აღრიცხეთ შემოწმება და დრო.</w:t>
      </w:r>
    </w:p>
    <w:p>
      <w:pPr>
        <w:pStyle w:val="FirstParagraph"/>
      </w:pPr>
      <w:r>
        <w:rPr>
          <w:bCs/>
          <w:b/>
        </w:rPr>
        <w:t>მთავარი დებულება: ჩანაწერის გარეშე შემოწმება არ არსებობს.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რისკის დოზები მეორე შემოწმებით აღრიცხული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ცალკე შენახვა უზრუნველყოფილია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პალატის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მთავარ ფარმაცევტს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მაღალი რისკის მეორე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შემოწმების 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მედიკამენტების მართვის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სიას ადგენს ფარმაკოლოგიისა და თერაპიის კომიტეტი.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1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0"/>
        </w:numPr>
        <w:pStyle w:val="Compact"/>
      </w:pPr>
      <w:r>
        <w:t>World Health Organization (2007). Nine patient safety solutions, including correct patient identification. Geneva: WHO.  (E-007)</w:t>
      </w:r>
      <w:r/>
      <w:hyperlink r:id="rId42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Standard 3: Medicines and Pain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5/" TargetMode="External"/><Relationship Id="rId38" Type="http://schemas.openxmlformats.org/officeDocument/2006/relationships/hyperlink" Target="/documents/hos-pol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3/" TargetMode="External"/><Relationship Id="rId43" Type="http://schemas.openxmlformats.org/officeDocument/2006/relationships/hyperlink" Target="https://france-asf.fr/wp-content/uploads/2026/10/hos-sop-006-1.pdf" TargetMode="External"/><Relationship Id="rId42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5/" TargetMode="External"/><Relationship Id="rId38" Type="http://schemas.openxmlformats.org/officeDocument/2006/relationships/hyperlink" Target="/documents/hos-pol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3/" TargetMode="External"/><Relationship Id="rId43" Type="http://schemas.openxmlformats.org/officeDocument/2006/relationships/hyperlink" Target="https://france-asf.fr/wp-content/uploads/2026/10/hos-sop-006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HOS-SOP-006: High-alert medicines</dc:title>
  <dc:creator/>
  <cp:keywords/>
  <dcterms:created xsi:type="dcterms:W3CDTF">2026-10-28T21:34:37Z</dcterms:created>
  <dcterms:modified xsi:type="dcterms:W3CDTF">2026-10-28T21:34:37Z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