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HOS-SOP-007: წამლების შეჯერება</w:t>
      </w:r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წამლების შეჯერება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HOS-SOP-007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სტანდარტი S1 › </w:t>
      </w:r>
      <w:r/>
      <w:r/>
      <w:r/>
      <w:r/>
      <w:r/>
      <w:r/>
      <w:hyperlink r:id="rId21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>სტანდარტული საოპერაციო პროცედურა (SOP) · HOS-SOP-007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>მხარს უჭერს: სისტემა S1 (საავადმყოფო), კრიტერიუმი S1.7</w:t>
      </w:r>
      <w:r/>
      <w:r/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შეადარეთ პაციენტის საკუთარი წამლები საავადმყოფოს სიას მიღებისას, გადაყვანისას და გაწერისას.</w:t>
      </w:r>
    </w:p>
    <w:p>
      <w:pPr>
        <w:numPr>
          <w:ilvl w:val="0"/>
          <w:numId w:val="1001"/>
        </w:numPr>
        <w:pStyle w:val="Compact"/>
      </w:pPr>
      <w:r>
        <w:t>ყოველი შეუსაბამობა მოაგვარეთ დანიშნულების ავტორთან ერთად.</w:t>
      </w:r>
    </w:p>
    <w:p>
      <w:pPr>
        <w:numPr>
          <w:ilvl w:val="0"/>
          <w:numId w:val="1001"/>
        </w:numPr>
        <w:pStyle w:val="Compact"/>
      </w:pPr>
      <w:r>
        <w:t>აღრიცხეთ ყოველი გადაწყვეტილება და მისი მიზეზი.</w:t>
      </w:r>
    </w:p>
    <w:p>
      <w:pPr>
        <w:numPr>
          <w:ilvl w:val="0"/>
          <w:numId w:val="1001"/>
        </w:numPr>
        <w:pStyle w:val="Compact"/>
      </w:pPr>
      <w:r>
        <w:t>გაწერის სია გადაეცით პაციენტს.</w:t>
      </w:r>
    </w:p>
    <w:p>
      <w:pPr>
        <w:numPr>
          <w:ilvl w:val="0"/>
          <w:numId w:val="1001"/>
        </w:numPr>
        <w:pStyle w:val="Compact"/>
      </w:pPr>
      <w:r>
        <w:t>დაუყოვნებლივ შეაჩერეთ და მოითხოვეთ დახმარება, თუ: შეუსაბამობა ნაპოვნია და დანიშნულების ავტორის გადაწყვეტილება არ არის აღრიცხული.</w:t>
      </w:r>
    </w:p>
    <w:bookmarkStart w:id="22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იმისთვის, რომ წამლები არ გამოგვრჩეს, არ გაორმაგდეს ან შეცდომით არ შეწყდეს პაციენტის გადაადგილებისას (S1.7).</w:t>
      </w:r>
    </w:p>
    <w:bookmarkEnd w:id="22"/>
    <w:bookmarkStart w:id="23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 ჯერზე, როცა აღწერილი საქმიანობა ხორციელდება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საქმიანობები, რომლებსაც მე-15 განყოფილებაში ჩამოთვლილი სხვა დოკუმენტი ფარავს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ექთანი, რომელიც ამ დროს უძღვება უბანს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პაციენტის საკუთარი წამლები ხშირად იცვლება ან გამოგვრჩება მიღებისას და გაწერისას. შეჯერება ყოველ ცვლილებაზე ამის თავიდან ასაცილებლად ყველაზე უსაფრთხო გზაა.</w:t>
      </w:r>
    </w:p>
    <w:bookmarkEnd w:id="25"/>
    <w:bookmarkStart w:id="26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მიმღები ექთანი ან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>იღებს სიას; ადარებს; აღრიცხავს შეუსაბამობებს</w:t>
            </w:r>
          </w:p>
        </w:tc>
        <w:tc>
          <w:tcPr/>
          <w:p>
            <w:pPr>
              <w:pStyle w:val="Compact"/>
              <w:jc w:val="left"/>
            </w:pPr>
            <w:r>
              <w:t>გადამზადებული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დანიშვნის ექიმი</w:t>
            </w:r>
          </w:p>
        </w:tc>
        <w:tc>
          <w:tcPr/>
          <w:p>
            <w:pPr>
              <w:pStyle w:val="Compact"/>
              <w:jc w:val="left"/>
            </w:pPr>
            <w:r>
              <w:t>წყვეტს ყოველ შეუსაბამობას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პირობა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წამლების შეჯერების ფორმა (HOS-FRM-006)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</w:t>
            </w:r>
          </w:p>
        </w:tc>
        <w:tc>
          <w:tcPr/>
          <w:p>
            <w:pPr>
              <w:pStyle w:val="Compact"/>
              <w:jc w:val="left"/>
            </w:pPr>
            <w:r>
              <w:t>ხელმისაწვდომია ყოველ ეტაპზე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შეაჩერეთ და მოითხოვეთ დახმარება, თუ პაციენტს დაუყოვნებელი საფრთხე ემუქრება. არ დააგვიანოთ გადაუდებელი მოვლა დოკუმენტაციის შევსებისთვის.</w:t>
      </w:r>
    </w:p>
    <w:bookmarkEnd w:id="28"/>
    <w:bookmarkStart w:id="29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დაადასტურეთ, რომ ამ დოკუმენტში დასახელებული ფორმები და აღჭურვილობა ხელმისაწვდომი და მიმდინარეა.</w:t>
      </w:r>
    </w:p>
    <w:bookmarkEnd w:id="29"/>
    <w:bookmarkStart w:id="30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სიის აღება.</w:t>
      </w:r>
    </w:p>
    <w:p>
      <w:pPr>
        <w:numPr>
          <w:ilvl w:val="0"/>
          <w:numId w:val="1004"/>
        </w:numPr>
        <w:pStyle w:val="Compact"/>
      </w:pPr>
      <w:r>
        <w:t>მოითხოვეთ პაციენტის საკუთარი წამლები, მათ შორის სახლიდან და აფთიაქიდან.</w:t>
      </w:r>
    </w:p>
    <w:p>
      <w:pPr>
        <w:pStyle w:val="FirstParagraph"/>
      </w:pPr>
      <w:r>
        <w:rPr>
          <w:bCs/>
          <w:b/>
        </w:rPr>
        <w:t>მთავარი აქცენტი: თუ შესაძლებელია, მოითხოვეთ ბოთლები ან შეფუთვები.</w:t>
      </w:r>
      <w:r/>
      <w:r/>
    </w:p>
    <w:p>
      <w:pPr>
        <w:pStyle w:val="BodyText"/>
      </w:pPr>
      <w:r>
        <w:t>ნაბიჯი 2. შედარება.</w:t>
      </w:r>
    </w:p>
    <w:p>
      <w:pPr>
        <w:numPr>
          <w:ilvl w:val="0"/>
          <w:numId w:val="1005"/>
        </w:numPr>
        <w:pStyle w:val="Compact"/>
      </w:pPr>
      <w:r>
        <w:t>შეადარეთ საავადმყოფოს ჩანაწერს სტრიქონ-სტრიქონ.</w:t>
      </w:r>
    </w:p>
    <w:p>
      <w:pPr>
        <w:pStyle w:val="FirstParagraph"/>
      </w:pPr>
      <w:r>
        <w:rPr>
          <w:bCs/>
          <w:b/>
        </w:rPr>
        <w:t>მთავარი აქცენტი: ყოველ სტრიქონს გადაწყვეტილება სჭირდება.</w:t>
      </w:r>
      <w:r/>
      <w:r/>
    </w:p>
    <w:p>
      <w:pPr>
        <w:pStyle w:val="BodyText"/>
      </w:pPr>
      <w:r>
        <w:t>ნაბიჯი 3. მოგვარება.</w:t>
      </w:r>
    </w:p>
    <w:p>
      <w:pPr>
        <w:numPr>
          <w:ilvl w:val="0"/>
          <w:numId w:val="1006"/>
        </w:numPr>
        <w:pStyle w:val="Compact"/>
      </w:pPr>
      <w:r>
        <w:t>სთხოვეთ დანიშნულების ავტორს ყოველ შეუსაბამობაზე გადაწყვეტილების მიღება.</w:t>
      </w:r>
    </w:p>
    <w:p>
      <w:pPr>
        <w:numPr>
          <w:ilvl w:val="0"/>
          <w:numId w:val="1006"/>
        </w:numPr>
        <w:pStyle w:val="Compact"/>
      </w:pPr>
      <w:r>
        <w:t>აღრიცხეთ გადაწყვეტილება და მიზეზი.</w:t>
      </w:r>
    </w:p>
    <w:p>
      <w:pPr>
        <w:pStyle w:val="FirstParagraph"/>
      </w:pPr>
      <w:r>
        <w:rPr>
          <w:bCs/>
          <w:b/>
        </w:rPr>
        <w:t>მთავარი აქცენტი: გადაწყვეტილება თავად არის შეჯერება.</w:t>
      </w:r>
      <w:r/>
      <w:r/>
    </w:p>
    <w:p>
      <w:pPr>
        <w:pStyle w:val="BodyText"/>
      </w:pPr>
      <w:r>
        <w:t>ნაბიჯი 4. გადაცემა.</w:t>
      </w:r>
    </w:p>
    <w:p>
      <w:pPr>
        <w:numPr>
          <w:ilvl w:val="0"/>
          <w:numId w:val="1007"/>
        </w:numPr>
        <w:pStyle w:val="Compact"/>
      </w:pPr>
      <w:r>
        <w:t>გაწერისას პაციენტს გადაეცით გაწერის სია.</w:t>
      </w:r>
    </w:p>
    <w:p>
      <w:pPr>
        <w:pStyle w:val="FirstParagraph"/>
      </w:pPr>
      <w:r>
        <w:rPr>
          <w:bCs/>
          <w:b/>
        </w:rPr>
        <w:t>მთავარი აქცენტი: პაციენტი ბოლო შემოწმებაა.</w:t>
      </w:r>
      <w:r/>
      <w:r/>
    </w:p>
    <w:bookmarkEnd w:id="30"/>
    <w:bookmarkStart w:id="31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8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1"/>
    <w:bookmarkStart w:id="32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მორიგე კონტაქტი, რომელიც ზონის კედელზეა.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9"/>
        </w:numPr>
        <w:pStyle w:val="Compact"/>
      </w:pPr>
      <w:r>
        <w:t>ნებისმიერი სერიოზული პრობლემა დაუყოვნებლივ გადაეცემა მორიგე კლინიკურ ხელმძღვანელს და იმავე დღეს კლინიკურ დირექტორს.</w:t>
      </w:r>
    </w:p>
    <w:bookmarkEnd w:id="33"/>
    <w:bookmarkStart w:id="34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შემთხვევები, სადაც ყოველ ეტაპზე შეჯერება ჩატარდა</w:t>
            </w:r>
          </w:p>
        </w:tc>
        <w:tc>
          <w:tcPr/>
          <w:p>
            <w:pPr>
              <w:pStyle w:val="Compact"/>
              <w:jc w:val="left"/>
            </w:pPr>
            <w:r>
              <w:t>მინიმუმ 70%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მთავარი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კლინიკურ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შეუსაბამობები დანიშნულების ავტორის გადაწყვეტილებით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მთავარი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კლინიკურ დირექტორთან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ჩანაწერი ან ზონის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10"/>
        </w:numPr>
        <w:pStyle w:val="Compact"/>
      </w:pPr>
      <w:r>
        <w:t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6"/>
    <w:bookmarkStart w:id="39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HOS-FRM-006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წამლების შეჯერების ფორმა</w:t>
            </w:r>
          </w:p>
        </w:tc>
        <w:tc>
          <w:tcPr/>
          <w:p>
            <w:pPr>
              <w:pStyle w:val="Compact"/>
              <w:jc w:val="left"/>
            </w:pPr>
            <w:r>
              <w:t>ფორმა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 xml:space="preserve">HOS-SOP-010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გაწერა და შემდგომი მოვლის დაგეგმვა</w:t>
            </w:r>
          </w:p>
        </w:tc>
        <w:tc>
          <w:tcPr/>
          <w:p>
            <w:pPr>
              <w:pStyle w:val="Compact"/>
              <w:jc w:val="left"/>
            </w:pPr>
            <w:r>
              <w:t>გაწერის სია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E-007</w:t>
            </w:r>
          </w:p>
        </w:tc>
        <w:tc>
          <w:tcPr/>
          <w:p>
            <w:pPr>
              <w:pStyle w:val="Compact"/>
              <w:jc w:val="left"/>
            </w:pPr>
            <w:r>
              <w:t>WHO Nine patient safety solutions (2007).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0"/>
    <w:bookmarkStart w:id="41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ელექტრონული სწავლების კურსი ჯერ არ არის მიბმული.</w:t>
      </w:r>
    </w:p>
    <w:bookmarkEnd w:id="41"/>
    <w:bookmarkStart w:id="45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1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1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numPr>
          <w:ilvl w:val="0"/>
          <w:numId w:val="1011"/>
        </w:numPr>
        <w:pStyle w:val="Compact"/>
      </w:pPr>
      <w:r>
        <w:t>ჯანდაცვის მსოფლიო ორგანიზაცია (2007). Nine patient safety solutions, including correct patient identification. ჟენევა: WHO.  (E-007)</w:t>
      </w:r>
      <w:r/>
      <w:hyperlink r:id="rId42">
        <w:r>
          <w:rPr>
            <w:rStyle w:val="Hyperlink"/>
          </w:rPr>
          <w:t xml:space="preserve">Open source</w:t>
        </w:r>
      </w:hyperlink>
      <w:r/>
      <w:r/>
    </w:p>
    <w:p>
      <w:pPr>
        <w:pStyle w:val="FirstParagraph"/>
      </w:pPr>
      <w:hyperlink r:id="rId43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12"/>
        </w:numPr>
        <w:pStyle w:val="Compact"/>
      </w:pPr>
      <w:hyperlink r:id="rId44">
        <w:r>
          <w:rPr>
            <w:rStyle w:val="Hyperlink"/>
          </w:rPr>
          <w:t xml:space="preserve">Standard 3: Medicines and Pain</w:t>
        </w:r>
      </w:hyperlink>
    </w:p>
    <w:bookmarkEnd w:id="45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7" Type="http://schemas.openxmlformats.org/officeDocument/2006/relationships/hyperlink" Target="/documents/hos-frm-006/" TargetMode="External"/><Relationship Id="rId38" Type="http://schemas.openxmlformats.org/officeDocument/2006/relationships/hyperlink" Target="/documents/hos-sop-010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4" Type="http://schemas.openxmlformats.org/officeDocument/2006/relationships/hyperlink" Target="https://france-asf.fr/standards/standard-3/" TargetMode="External"/><Relationship Id="rId43" Type="http://schemas.openxmlformats.org/officeDocument/2006/relationships/hyperlink" Target="https://france-asf.fr/wp-content/uploads/2026/10/hos-sop-007-1.pdf" TargetMode="External"/><Relationship Id="rId42" Type="http://schemas.openxmlformats.org/officeDocument/2006/relationships/hyperlink" Target="https://www.who.int/news/item/02-05-2007-who-launches-nine-patient-safety-solutions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7" Type="http://schemas.openxmlformats.org/officeDocument/2006/relationships/hyperlink" Target="/documents/hos-frm-006/" TargetMode="External"/><Relationship Id="rId38" Type="http://schemas.openxmlformats.org/officeDocument/2006/relationships/hyperlink" Target="/documents/hos-sop-010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4" Type="http://schemas.openxmlformats.org/officeDocument/2006/relationships/hyperlink" Target="https://france-asf.fr/standards/standard-3/" TargetMode="External"/><Relationship Id="rId43" Type="http://schemas.openxmlformats.org/officeDocument/2006/relationships/hyperlink" Target="https://france-asf.fr/wp-content/uploads/2026/10/hos-sop-007-1.pdf" TargetMode="External"/><Relationship Id="rId42" Type="http://schemas.openxmlformats.org/officeDocument/2006/relationships/hyperlink" Target="https://www.who.int/news/item/02-05-2007-who-launches-nine-patient-safety-solu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HOS-SOP-007: Medicines reconciliation</dc:title>
  <dc:creator/>
  <cp:keywords/>
  <dcterms:created xsi:type="dcterms:W3CDTF">2026-10-28T21:34:37Z</dcterms:created>
  <dcterms:modified xsi:type="dcterms:W3CDTF">2026-10-28T21:34:37Z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