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HOS-SOP-009: კრიტიკული შედეგის ინფორმირება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კრიტიკული შედეგის ინფორმირება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HOS-SOP-009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სტანდარტული საოპერაციო პროცედურები (SOP)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სტანდარტული საოპერაციო პროცედურა (SOP) · HOS-SOP-009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S1.9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კრიტიკული მნიშვნელობების სია იყოს აქტუალური და დამტკიცებული.</w:t>
      </w:r>
    </w:p>
    <w:p>
      <w:pPr>
        <w:numPr>
          <w:ilvl w:val="0"/>
          <w:numId w:val="1001"/>
        </w:numPr>
        <w:pStyle w:val="Compact"/>
      </w:pPr>
      <w:r>
        <w:t>ლაბორატორია ყოველ კრიტიკულ შედეგს დადგენილ დროში აცნობებს პასუხისმგებელ კლინიცისტს.</w:t>
      </w:r>
    </w:p>
    <w:p>
      <w:pPr>
        <w:numPr>
          <w:ilvl w:val="0"/>
          <w:numId w:val="1001"/>
        </w:numPr>
        <w:pStyle w:val="Compact"/>
      </w:pPr>
      <w:r>
        <w:t>კლინიცისტი მოქმედებს და აფიქსირებს მოქმედებასა და დროს.</w:t>
      </w:r>
    </w:p>
    <w:p>
      <w:pPr>
        <w:numPr>
          <w:ilvl w:val="0"/>
          <w:numId w:val="1001"/>
        </w:numPr>
        <w:pStyle w:val="Compact"/>
      </w:pPr>
      <w:r>
        <w:t>ყოველი კრიტიკული შედეგი დააფიქსირეთ HOS-REG-002-ზე.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კრიტიკული შედეგი გაცემულია და კლინიცისტის მოქმედება არ არის დაფიქსირებული.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საშიში შედეგი სწრაფად მიაღწევს კლინიცისტს და მასზე რეაგირება მოხდება ჩანაწერით (S1.9).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კრიტიკული ლაბორატორიული შედეგი, რომელიც დაგვიანებით ან მოქმედების გარეშე ვრცელდება, სიცოცხლეს შეიძლება დაუჯდეს. ყოველ მათგანს სჭირდება დასახელებული მოქმედება და დროის ზღვარი.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ლაბორატორიის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აწარმოებს კრიტიკულ სიას და ახორციელებს გამოძახებებს</w:t>
            </w:r>
          </w:p>
        </w:tc>
        <w:tc>
          <w:tcPr/>
          <w:p>
            <w:pPr>
              <w:pStyle w:val="Compact"/>
              <w:jc w:val="left"/>
            </w:pPr>
            <w:r>
              <w:t>ლაბორატორია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იღებს, მოქმედებს და აფიქსირებს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ექიმი ან ექთანი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კრიტიკული მნიშვნელობების 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დამტკიცებულია, ყოველწლიურად განიხილება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ყოველწლიურად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კრიტიკული შედეგების ჟურნალი (HOS-REG-002)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გამოიყენება ყოველ გამოძახებაზე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დაადგინეთ ვინაობა.</w:t>
      </w:r>
    </w:p>
    <w:p>
      <w:pPr>
        <w:numPr>
          <w:ilvl w:val="0"/>
          <w:numId w:val="1004"/>
        </w:numPr>
        <w:pStyle w:val="Compact"/>
      </w:pPr>
      <w:r>
        <w:t>თითოეული შედეგი შეადარეთ კრიტიკულ სიას.</w:t>
      </w:r>
    </w:p>
    <w:p>
      <w:pPr>
        <w:pStyle w:val="FirstParagraph"/>
      </w:pPr>
      <w:r>
        <w:rPr>
          <w:bCs/>
          <w:b/>
        </w:rPr>
        <w:t>მთავარი აზრი: სია მოკლე და ნათელია.</w:t>
      </w:r>
      <w:r/>
      <w:r/>
    </w:p>
    <w:p>
      <w:pPr>
        <w:pStyle w:val="BodyText"/>
      </w:pPr>
      <w:r>
        <w:t>ნაბიჯი 2. გამოიძახეთ.</w:t>
      </w:r>
    </w:p>
    <w:p>
      <w:pPr>
        <w:numPr>
          <w:ilvl w:val="0"/>
          <w:numId w:val="1005"/>
        </w:numPr>
        <w:pStyle w:val="Compact"/>
      </w:pPr>
      <w:r>
        <w:t>დადგენილ დროში გამოიძახეთ პასუხისმგებელი კლინიცისტი.</w:t>
      </w:r>
    </w:p>
    <w:p>
      <w:pPr>
        <w:numPr>
          <w:ilvl w:val="0"/>
          <w:numId w:val="1005"/>
        </w:numPr>
        <w:pStyle w:val="Compact"/>
      </w:pPr>
      <w:r>
        <w:t>გაიმეორეთ შედეგი და პაციენტის ვინაობა.</w:t>
      </w:r>
    </w:p>
    <w:p>
      <w:pPr>
        <w:pStyle w:val="FirstParagraph"/>
      </w:pPr>
      <w:r>
        <w:rPr>
          <w:bCs/>
          <w:b/>
        </w:rPr>
        <w:t>მთავარი აზრი: ყოველ ჯერზე გაიმეორეთ და დაადასტურეთ.</w:t>
      </w:r>
      <w:r/>
      <w:r/>
    </w:p>
    <w:p>
      <w:pPr>
        <w:pStyle w:val="BodyText"/>
      </w:pPr>
      <w:r>
        <w:t>ნაბიჯი 3. იმოქმედეთ და დააფიქსირეთ.</w:t>
      </w:r>
    </w:p>
    <w:p>
      <w:pPr>
        <w:numPr>
          <w:ilvl w:val="0"/>
          <w:numId w:val="1006"/>
        </w:numPr>
        <w:pStyle w:val="Compact"/>
      </w:pPr>
      <w:r>
        <w:t>კლინიცისტი მოქმედებს და ჟურნალში წერს მოქმედებასა და დროს.</w:t>
      </w:r>
    </w:p>
    <w:p>
      <w:pPr>
        <w:pStyle w:val="FirstParagraph"/>
      </w:pPr>
      <w:r>
        <w:rPr>
          <w:bCs/>
          <w:b/>
        </w:rPr>
        <w:t>მთავარი აზრი: დაფიქსირებული მოქმედება საქმის დახურვაა.</w:t>
      </w:r>
      <w:r/>
      <w:r/>
    </w:p>
    <w:p>
      <w:pPr>
        <w:pStyle w:val="BodyText"/>
      </w:pPr>
      <w:r>
        <w:t>ნაბიჯი 4. თუ ვერ დაუკავშირდით, ესკალაცია.</w:t>
      </w:r>
    </w:p>
    <w:p>
      <w:pPr>
        <w:numPr>
          <w:ilvl w:val="0"/>
          <w:numId w:val="1007"/>
        </w:numPr>
        <w:pStyle w:val="Compact"/>
      </w:pPr>
      <w:r>
        <w:t>თუ დადგენილ დროში კლინიცისტს ვერ დაუკავშირდებით, გამოიძახეთ მორიგე კლინიკური ხელმძღვანელი.</w:t>
      </w:r>
    </w:p>
    <w:p>
      <w:pPr>
        <w:pStyle w:val="FirstParagraph"/>
      </w:pPr>
      <w:r>
        <w:rPr>
          <w:bCs/>
          <w:b/>
        </w:rPr>
        <w:t>მთავარი აზრი: კრიტიკული შედეგი არასდროს დარჩეს შეუტყობინებელი.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კრიტიკული შედეგები, გაცემული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ლაბორატორიის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კრიტიკული შედეგები დაფიქსირებული მოქმედებით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ლაბორატორიის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კრიტიკული შედეგების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ჟურნალი გამოიყენება ყოველ ნაბიჯზე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დროის ზღვრებს ადგენს ლაბორატორია და ადასტურებს კომიტეტი; ISO 15189:2022 კრიტიკული მნიშვნელობების მოთხოვნები.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0"/>
    <w:bookmarkStart w:id="43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1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2">
        <w:r>
          <w:rPr>
            <w:rStyle w:val="Hyperlink"/>
          </w:rPr>
          <w:t>Standard 33: Laboratory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33/" TargetMode="External"/><Relationship Id="rId41" Type="http://schemas.openxmlformats.org/officeDocument/2006/relationships/hyperlink" Target="https://france-asf.fr/wp-content/uploads/2026/10/hos-sop-009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2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33/" TargetMode="External"/><Relationship Id="rId41" Type="http://schemas.openxmlformats.org/officeDocument/2006/relationships/hyperlink" Target="https://france-asf.fr/wp-content/uploads/2026/10/hos-sop-009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HOS-SOP-009: Critical result reporting</dc:title>
  <dc:creator/>
  <cp:keywords/>
  <dcterms:created xsi:type="dcterms:W3CDTF">2026-10-28T21:34:36Z</dcterms:created>
  <dcterms:modified xsi:type="dcterms:W3CDTF">2026-10-28T21:34:36Z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