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HOS-SOP-010: გაწერა და პოსტ-გაწერის დაგეგმვა</w:t>
      </w:r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სტანდარტული საოპერაციო პროცედურა</w:t>
            </w:r>
          </w:p>
          <w:p>
            <w:pPr>
              <w:pStyle w:val="Compact"/>
              <w:jc w:val="left"/>
            </w:pPr>
            <w:r>
              <w:t>გაწერა და პოსტ-გაწერის დაგეგმვა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HOS-SOP-010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სტანდარტი S1 › </w:t>
      </w:r>
      <w:r/>
      <w:r/>
      <w:r/>
      <w:r/>
      <w:r/>
      <w:r/>
      <w:hyperlink r:id="rId21">
        <w:r>
          <w:rPr>
            <w:rStyle w:val="Hyperlink"/>
          </w:rPr>
          <w:t xml:space="preserve">Standard operating procedures (SOPs)</w:t>
        </w:r>
      </w:hyperlink>
    </w:p>
    <w:p>
      <w:pPr>
        <w:pStyle w:val="BodyText"/>
      </w:pPr>
      <w:r>
        <w:t>სტანდარტული საოპერაციო პროცედურა (SOP) · HOS-SOP-010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>მხარს უჭერს: სისტემა S1 (საავადმყოფო), კრიტერიუმი S1.10</w:t>
      </w:r>
      <w:r/>
      <w:r/>
    </w:p>
    <w:p>
      <w:pPr>
        <w:pStyle w:val="BodyText"/>
      </w:pPr>
      <w:r>
        <w:t>მოკლედ</w:t>
      </w:r>
    </w:p>
    <w:p>
      <w:pPr>
        <w:numPr>
          <w:ilvl w:val="0"/>
          <w:numId w:val="1001"/>
        </w:numPr>
        <w:pStyle w:val="Compact"/>
      </w:pPr>
      <w:r>
        <w:t>შეადგინეთ პოსტ-გაწერის გეგმა ყოველი გაწერილი პაციენტისთვის.</w:t>
      </w:r>
    </w:p>
    <w:p>
      <w:pPr>
        <w:numPr>
          <w:ilvl w:val="0"/>
          <w:numId w:val="1001"/>
        </w:numPr>
        <w:pStyle w:val="Compact"/>
      </w:pPr>
      <w:r>
        <w:t>ახსენით გეგმა და შეამოწმეთ გაგება პაციენტთან ერთად (teach-back).</w:t>
      </w:r>
    </w:p>
    <w:p>
      <w:pPr>
        <w:numPr>
          <w:ilvl w:val="0"/>
          <w:numId w:val="1001"/>
        </w:numPr>
        <w:pStyle w:val="Compact"/>
      </w:pPr>
      <w:r>
        <w:t>გაწერის დღესვე გადაუგზავნეთ გეგმა შემდეგ მომსახურე პირს.</w:t>
      </w:r>
    </w:p>
    <w:p>
      <w:pPr>
        <w:numPr>
          <w:ilvl w:val="0"/>
          <w:numId w:val="1001"/>
        </w:numPr>
        <w:pStyle w:val="Compact"/>
      </w:pPr>
      <w:r>
        <w:t>გადასცით პაციენტს ასლი.</w:t>
      </w:r>
    </w:p>
    <w:p>
      <w:pPr>
        <w:numPr>
          <w:ilvl w:val="0"/>
          <w:numId w:val="1001"/>
        </w:numPr>
        <w:pStyle w:val="Compact"/>
      </w:pPr>
      <w:r>
        <w:t>დაუყოვნებლივ შეაჩერეთ პროცესი და მოითხოვეთ დახმარება, თუ: პაციენტი ტოვებს საავადმყოფოს წერილობითი პოსტ-გაწერის გეგმის გარეშე.</w:t>
      </w:r>
    </w:p>
    <w:bookmarkStart w:id="22" w:name="purpose"/>
    <w:p>
      <w:pPr>
        <w:pStyle w:val="Heading2"/>
      </w:pPr>
      <w:r>
        <w:t>1. მიზანი</w:t>
      </w:r>
    </w:p>
    <w:p>
      <w:pPr>
        <w:pStyle w:val="FirstParagraph"/>
      </w:pPr>
      <w:r>
        <w:t>იმისათვის, რომ ყოველი პაციენტი წავიდეს მკაფიო, წერილობითი გეგმით, რომელიც გასაგებია და აღწევს შემდეგ მომსახურე პირამდე (S1.10).</w:t>
      </w:r>
    </w:p>
    <w:bookmarkEnd w:id="22"/>
    <w:bookmarkStart w:id="23" w:name="scope"/>
    <w:p>
      <w:pPr>
        <w:pStyle w:val="Heading2"/>
      </w:pPr>
      <w:r>
        <w:t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 ჯერზე, როცა აღწერილი საქმიანობა ხორციელდება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საქმიანობები, რომლებსაც მე-15 განყოფილებაში ჩამოთვლილი სხვა დოკუმენტი ფარავს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3"/>
    <w:bookmarkStart w:id="24" w:name="definitions"/>
    <w:p>
      <w:pPr>
        <w:pStyle w:val="Heading2"/>
      </w:pPr>
      <w:r>
        <w:t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ექიმი ან ექთანი, რომელიც ამ დროს უძღვება უბანს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background"/>
    <w:p>
      <w:pPr>
        <w:pStyle w:val="Heading2"/>
      </w:pPr>
      <w:r>
        <w:t>4. საფუძვლები</w:t>
      </w:r>
    </w:p>
    <w:p>
      <w:pPr>
        <w:pStyle w:val="FirstParagraph"/>
      </w:pPr>
      <w:r>
        <w:t>პაციენტები, რომლებიც წერილობითი გეგმის გარეშე მიდიან, ხშირად ბრუნდებიან ან საკუთარ თავს აზიანებენ. ახსნილი, წერილობითი გეგმა, რომელიც შემდეგ მომსახურე პირს გადაეცემა, ზრუნვას უწყვეტს.</w:t>
      </w:r>
    </w:p>
    <w:bookmarkEnd w:id="25"/>
    <w:bookmarkStart w:id="26" w:name="responsibilities"/>
    <w:p>
      <w:pPr>
        <w:pStyle w:val="Heading2"/>
      </w:pPr>
      <w:r>
        <w:t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როლი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გამწერი კლინიცისტი</w:t>
            </w:r>
          </w:p>
        </w:tc>
        <w:tc>
          <w:tcPr/>
          <w:p>
            <w:pPr>
              <w:pStyle w:val="Compact"/>
              <w:jc w:val="left"/>
            </w:pPr>
            <w:r>
              <w:t>წერს და ხსნის გეგმას</w:t>
            </w:r>
          </w:p>
        </w:tc>
        <w:tc>
          <w:tcPr/>
          <w:p>
            <w:pPr>
              <w:pStyle w:val="Compact"/>
              <w:jc w:val="left"/>
            </w:pPr>
            <w:r>
              <w:t>ექიმი ან ექთანი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პალატის ადმინისტრატორი ან ექთანი</w:t>
            </w:r>
          </w:p>
        </w:tc>
        <w:tc>
          <w:tcPr/>
          <w:p>
            <w:pPr>
              <w:pStyle w:val="Compact"/>
              <w:jc w:val="left"/>
            </w:pPr>
            <w:r>
              <w:t>აგზავნის გეგმას შემდეგ მომსახურე პირთან</w:t>
            </w:r>
          </w:p>
        </w:tc>
        <w:tc>
          <w:tcPr/>
          <w:p>
            <w:pPr>
              <w:pStyle w:val="Compact"/>
              <w:jc w:val="left"/>
            </w:pPr>
            <w:r>
              <w:t>ადმინისტრაციული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materials-and-equipment"/>
    <w:p>
      <w:pPr>
        <w:pStyle w:val="Heading2"/>
      </w:pPr>
      <w:r>
        <w:t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>პირობა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გაწერის შემდგომი გეგმა (HOS-FRM-008)</w:t>
            </w:r>
          </w:p>
        </w:tc>
        <w:tc>
          <w:tcPr/>
          <w:p>
            <w:pPr>
              <w:pStyle w:val="Compact"/>
              <w:jc w:val="left"/>
            </w:pPr>
            <w:r>
              <w:t>მიმდინარე</w:t>
            </w:r>
          </w:p>
        </w:tc>
        <w:tc>
          <w:tcPr/>
          <w:p>
            <w:pPr>
              <w:pStyle w:val="Compact"/>
              <w:jc w:val="left"/>
            </w:pPr>
            <w:r>
              <w:t>იბეჭდება პალატაში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safety"/>
    <w:p>
      <w:pPr>
        <w:pStyle w:val="Heading2"/>
      </w:pPr>
      <w:r>
        <w:t>7. უსაფრთხოება</w:t>
      </w:r>
    </w:p>
    <w:p>
      <w:pPr>
        <w:numPr>
          <w:ilvl w:val="0"/>
          <w:numId w:val="1002"/>
        </w:numPr>
        <w:pStyle w:val="Compact"/>
      </w:pPr>
      <w:r>
        <w:t>შეაჩერეთ და მოითხოვეთ დახმარება, თუ პაციენტს დაუყოვნებელი საფრთხე ემუქრება. არ დააგვიანოთ გადაუდებელი მოვლა დოკუმენტაციის შევსებისთვის.</w:t>
      </w:r>
    </w:p>
    <w:bookmarkEnd w:id="28"/>
    <w:bookmarkStart w:id="29" w:name="before-you-start"/>
    <w:p>
      <w:pPr>
        <w:pStyle w:val="Heading2"/>
      </w:pPr>
      <w:r>
        <w:t>8. დაწყებამდე</w:t>
      </w:r>
    </w:p>
    <w:p>
      <w:pPr>
        <w:numPr>
          <w:ilvl w:val="0"/>
          <w:numId w:val="1003"/>
        </w:numPr>
        <w:pStyle w:val="Compact"/>
      </w:pPr>
      <w:r>
        <w:t>დაადასტურეთ, რომ ამ დოკუმენტში დასახელებული ფორმები და აღჭურვილობა ხელმისაწვდომი და მიმდინარეა.</w:t>
      </w:r>
    </w:p>
    <w:bookmarkEnd w:id="29"/>
    <w:bookmarkStart w:id="30" w:name="procedure"/>
    <w:p>
      <w:pPr>
        <w:pStyle w:val="Heading2"/>
      </w:pPr>
      <w:r>
        <w:t>9. პროცედურა</w:t>
      </w:r>
    </w:p>
    <w:p>
      <w:pPr>
        <w:pStyle w:val="FirstParagraph"/>
      </w:pPr>
      <w:r>
        <w:t>ნაბიჯი 1. შეადგინეთ გეგმა.</w:t>
      </w:r>
    </w:p>
    <w:p>
      <w:pPr>
        <w:numPr>
          <w:ilvl w:val="0"/>
          <w:numId w:val="1004"/>
        </w:numPr>
        <w:pStyle w:val="Compact"/>
      </w:pPr>
      <w:r>
        <w:t>ჩაწერეთ დიაგნოზი, წამლები, შემდგომი კონტროლი და გამაფრთხილებელი ნიშნები.</w:t>
      </w:r>
    </w:p>
    <w:p>
      <w:pPr>
        <w:pStyle w:val="FirstParagraph"/>
      </w:pPr>
      <w:r>
        <w:rPr>
          <w:bCs/>
          <w:b/>
        </w:rPr>
        <w:t>მთავარი აზრი: გეგმა იწერება პაციენტის წასვლამდე.</w:t>
      </w:r>
      <w:r/>
      <w:r/>
    </w:p>
    <w:p>
      <w:pPr>
        <w:pStyle w:val="BodyText"/>
      </w:pPr>
      <w:r>
        <w:t>ნაბიჯი 2. ახსენით.</w:t>
      </w:r>
    </w:p>
    <w:p>
      <w:pPr>
        <w:numPr>
          <w:ilvl w:val="0"/>
          <w:numId w:val="1005"/>
        </w:numPr>
        <w:pStyle w:val="Compact"/>
      </w:pPr>
      <w:r>
        <w:t>ახსენით გეგმა პაციენტს და მოვლის მქონე პირს.</w:t>
      </w:r>
    </w:p>
    <w:p>
      <w:pPr>
        <w:numPr>
          <w:ilvl w:val="0"/>
          <w:numId w:val="1005"/>
        </w:numPr>
        <w:pStyle w:val="Compact"/>
      </w:pPr>
      <w:r>
        <w:t>სთხოვეთ მათ, გაიმეორონ მთავარი პუნქტები (teach-back).</w:t>
      </w:r>
    </w:p>
    <w:p>
      <w:pPr>
        <w:pStyle w:val="FirstParagraph"/>
      </w:pPr>
      <w:r>
        <w:rPr>
          <w:bCs/>
          <w:b/>
        </w:rPr>
        <w:t>მთავარი აზრი: Teach-back აჩვენებს გაგებას.</w:t>
      </w:r>
      <w:r/>
      <w:r/>
    </w:p>
    <w:p>
      <w:pPr>
        <w:pStyle w:val="BodyText"/>
      </w:pPr>
      <w:r>
        <w:t>ნაბიჯი 3. გადაუგზავნეთ.</w:t>
      </w:r>
    </w:p>
    <w:p>
      <w:pPr>
        <w:numPr>
          <w:ilvl w:val="0"/>
          <w:numId w:val="1006"/>
        </w:numPr>
        <w:pStyle w:val="Compact"/>
      </w:pPr>
      <w:r>
        <w:t>იმავე დღეს გადაუგზავნეთ გეგმა შემდეგ მომსახურე პირს.</w:t>
      </w:r>
    </w:p>
    <w:p>
      <w:pPr>
        <w:numPr>
          <w:ilvl w:val="0"/>
          <w:numId w:val="1006"/>
        </w:numPr>
        <w:pStyle w:val="Compact"/>
      </w:pPr>
      <w:r>
        <w:t>ჩაწერეთ თარიღი და მიმღები.</w:t>
      </w:r>
    </w:p>
    <w:p>
      <w:pPr>
        <w:pStyle w:val="FirstParagraph"/>
      </w:pPr>
      <w:r>
        <w:rPr>
          <w:bCs/>
          <w:b/>
        </w:rPr>
        <w:t>მთავარი აზრი: შემდეგ მომსახურე პირს მისი პირველივე დღეს სჭირდება.</w:t>
      </w:r>
      <w:r/>
      <w:r/>
    </w:p>
    <w:bookmarkEnd w:id="30"/>
    <w:bookmarkStart w:id="31" w:name="decision-points"/>
    <w:p>
      <w:pPr>
        <w:pStyle w:val="Heading2"/>
      </w:pPr>
      <w:r>
        <w:t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>ამ პროცედურაში გადაწყვეტილების წერტილები არ არის.</w:t>
      </w:r>
    </w:p>
    <w:bookmarkEnd w:id="31"/>
    <w:bookmarkStart w:id="32" w:name="special-situations"/>
    <w:p>
      <w:pPr>
        <w:pStyle w:val="Heading2"/>
      </w:pPr>
      <w:r>
        <w:t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მიჰყევით იგივე ნაბიჯებს. გამოიყენეთ მორიგე კონტაქტი, რომელიც ზონის კედელზეა.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2"/>
    <w:bookmarkStart w:id="33" w:name="escalation"/>
    <w:p>
      <w:pPr>
        <w:pStyle w:val="Heading2"/>
      </w:pPr>
      <w:r>
        <w:t>12. ესკალაცია</w:t>
      </w:r>
    </w:p>
    <w:p>
      <w:pPr>
        <w:numPr>
          <w:ilvl w:val="0"/>
          <w:numId w:val="1008"/>
        </w:numPr>
        <w:pStyle w:val="Compact"/>
      </w:pPr>
      <w:r>
        <w:t>ნებისმიერი სერიოზული პრობლემა დაუყოვნებლივ გადაეცემა მორიგე კლინიკურ ხელმძღვანელს და იმავე დღეს კლინიკურ დირექტორს.</w:t>
      </w:r>
    </w:p>
    <w:bookmarkEnd w:id="33"/>
    <w:bookmarkStart w:id="34" w:name="monitoring"/>
    <w:p>
      <w:pPr>
        <w:pStyle w:val="Heading2"/>
      </w:pPr>
      <w:r>
        <w:t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გაწერები წერილობითი გეგმით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განყოფილების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>ესკალაცია კლინიკურ დირექტორთან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გეგმები გაგზავნილი იმავე დღეს</w:t>
            </w:r>
          </w:p>
        </w:tc>
        <w:tc>
          <w:tcPr/>
          <w:p>
            <w:pPr>
              <w:pStyle w:val="Compact"/>
              <w:jc w:val="left"/>
            </w:pPr>
            <w:r>
              <w:t>არანაკლებ 70%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განყოფილების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>ესკალაცია კლინიკურ დირექტორთან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records"/>
    <w:p>
      <w:pPr>
        <w:pStyle w:val="Heading2"/>
      </w:pPr>
      <w:r>
        <w:t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პაციენტის ჩანაწერი ან ზონის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ჩანაწერების პოლიტიკით დადგენილი წლები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5"/>
    <w:bookmarkStart w:id="36" w:name="training"/>
    <w:p>
      <w:pPr>
        <w:pStyle w:val="Heading2"/>
      </w:pPr>
      <w:r>
        <w:t>15. ტრენინგი</w:t>
      </w:r>
    </w:p>
    <w:p>
      <w:pPr>
        <w:numPr>
          <w:ilvl w:val="0"/>
          <w:numId w:val="1009"/>
        </w:numPr>
        <w:pStyle w:val="Compact"/>
      </w:pPr>
      <w:r>
        <w:t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6"/>
    <w:bookmarkStart w:id="39" w:name="related-documents"/>
    <w:p>
      <w:pPr>
        <w:pStyle w:val="Heading2"/>
      </w:pPr>
      <w:r>
        <w:t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ID</w:t>
            </w:r>
          </w:p>
        </w:tc>
        <w:tc>
          <w:tcPr/>
          <w:p>
            <w:pPr>
              <w:pStyle w:val="Compact"/>
              <w:jc w:val="left"/>
            </w:pPr>
            <w:r>
              <w:t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 xml:space="preserve">HOS-FRM-008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გაწერის შემდგომი გეგმა</w:t>
            </w:r>
          </w:p>
        </w:tc>
        <w:tc>
          <w:tcPr/>
          <w:p>
            <w:pPr>
              <w:pStyle w:val="Compact"/>
              <w:jc w:val="left"/>
            </w:pPr>
            <w:r>
              <w:t>გეგმის ფორმა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8">
              <w:r>
                <w:rPr>
                  <w:rStyle w:val="Hyperlink"/>
                </w:rPr>
                <w:t xml:space="preserve">HOS-SOP-011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გაწერის შემდგომი მეთვალყურეობა</w:t>
            </w:r>
          </w:p>
        </w:tc>
        <w:tc>
          <w:tcPr/>
          <w:p>
            <w:pPr>
              <w:pStyle w:val="Compact"/>
              <w:jc w:val="left"/>
            </w:pPr>
            <w:r>
              <w:t>მეთვალყურეობა გეგმის შემდეგ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9"/>
    <w:bookmarkStart w:id="40" w:name="evidence"/>
    <w:p>
      <w:pPr>
        <w:pStyle w:val="Heading2"/>
      </w:pPr>
      <w:r>
        <w:t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E-007</w:t>
            </w:r>
          </w:p>
        </w:tc>
        <w:tc>
          <w:tcPr/>
          <w:p>
            <w:pPr>
              <w:pStyle w:val="Compact"/>
              <w:jc w:val="left"/>
            </w:pPr>
            <w:r>
              <w:t>WHO Nine patient safety solutions (2007): communication at transfers.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0"/>
    <w:bookmarkStart w:id="41" w:name="change-history"/>
    <w:p>
      <w:pPr>
        <w:pStyle w:val="Heading2"/>
      </w:pPr>
      <w:r>
        <w:t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>ამ დოკუმენტთან ელექტრონული სწავლების კურსი ჯერ არ არის მიბმული.</w:t>
      </w:r>
    </w:p>
    <w:bookmarkEnd w:id="41"/>
    <w:bookmarkStart w:id="45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10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10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numPr>
          <w:ilvl w:val="0"/>
          <w:numId w:val="1010"/>
        </w:numPr>
        <w:pStyle w:val="Compact"/>
      </w:pPr>
      <w:r>
        <w:t>World Health Organization (2007). Nine patient safety solutions, including correct patient identification. Geneva: WHO.  (E-007)</w:t>
      </w:r>
      <w:r/>
      <w:hyperlink r:id="rId42">
        <w:r>
          <w:rPr>
            <w:rStyle w:val="Hyperlink"/>
          </w:rPr>
          <w:t xml:space="preserve">Open source</w:t>
        </w:r>
      </w:hyperlink>
      <w:r/>
      <w:r/>
    </w:p>
    <w:p>
      <w:pPr>
        <w:pStyle w:val="FirstParagraph"/>
      </w:pPr>
      <w:hyperlink r:id="rId43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>დაკავშირებული სტანდარტი</w:t>
      </w:r>
    </w:p>
    <w:p>
      <w:pPr>
        <w:numPr>
          <w:ilvl w:val="0"/>
          <w:numId w:val="1011"/>
        </w:numPr>
        <w:pStyle w:val="Compact"/>
      </w:pPr>
      <w:hyperlink r:id="rId44">
        <w:r>
          <w:rPr>
            <w:rStyle w:val="Hyperlink"/>
          </w:rPr>
          <w:t xml:space="preserve">Standard 42: Aftercare, Follow-Up and Post-Discharge Safety</w:t>
        </w:r>
      </w:hyperlink>
    </w:p>
    <w:bookmarkEnd w:id="45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7" Type="http://schemas.openxmlformats.org/officeDocument/2006/relationships/hyperlink" Target="/documents/hos-frm-008/" TargetMode="External"/><Relationship Id="rId38" Type="http://schemas.openxmlformats.org/officeDocument/2006/relationships/hyperlink" Target="/documents/hos-sop-011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4" Type="http://schemas.openxmlformats.org/officeDocument/2006/relationships/hyperlink" Target="https://france-asf.fr/standards/standard-42/" TargetMode="External"/><Relationship Id="rId43" Type="http://schemas.openxmlformats.org/officeDocument/2006/relationships/hyperlink" Target="https://france-asf.fr/wp-content/uploads/2026/10/hos-sop-010-1.pdf" TargetMode="External"/><Relationship Id="rId42" Type="http://schemas.openxmlformats.org/officeDocument/2006/relationships/hyperlink" Target="https://www.who.int/news/item/02-05-2007-who-launches-nine-patient-safety-solutions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37" Type="http://schemas.openxmlformats.org/officeDocument/2006/relationships/hyperlink" Target="/documents/hos-frm-008/" TargetMode="External"/><Relationship Id="rId38" Type="http://schemas.openxmlformats.org/officeDocument/2006/relationships/hyperlink" Target="/documents/hos-sop-011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4" Type="http://schemas.openxmlformats.org/officeDocument/2006/relationships/hyperlink" Target="https://france-asf.fr/standards/standard-42/" TargetMode="External"/><Relationship Id="rId43" Type="http://schemas.openxmlformats.org/officeDocument/2006/relationships/hyperlink" Target="https://france-asf.fr/wp-content/uploads/2026/10/hos-sop-010-1.pdf" TargetMode="External"/><Relationship Id="rId42" Type="http://schemas.openxmlformats.org/officeDocument/2006/relationships/hyperlink" Target="https://www.who.int/news/item/02-05-2007-who-launches-nine-patient-safety-solu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HOS-SOP-010: Discharge and aftercare planning</dc:title>
  <dc:creator/>
  <cp:keywords/>
  <dcterms:created xsi:type="dcterms:W3CDTF">2026-10-28T21:34:36Z</dcterms:created>
  <dcterms:modified xsi:type="dcterms:W3CDTF">2026-10-28T21:34:36Z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