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HOS-SOP-013: დაუცველი პაციენტები და დაცვა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დაუცველი პაციენტები და დაცვა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HOS-SOP-013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HOS-SOP-013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S1.16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მიღებისას გამოავლინეთ ბავშვები, შშმ პირები და ქმედუნარიანობის არმქონე პაციენტები.</w:t>
      </w:r>
    </w:p>
    <w:p>
      <w:pPr>
        <w:numPr>
          <w:ilvl w:val="0"/>
          <w:numId w:val="1001"/>
        </w:numPr>
        <w:pStyle w:val="Compact"/>
      </w:pPr>
      <w:r>
        <w:t>აღნიშნეთ ისინი ჩანაწერში და მოვლის გეგმაში.</w:t>
      </w:r>
    </w:p>
    <w:p>
      <w:pPr>
        <w:numPr>
          <w:ilvl w:val="0"/>
          <w:numId w:val="1001"/>
        </w:numPr>
        <w:pStyle w:val="Compact"/>
      </w:pPr>
      <w:r>
        <w:t>ყოველი შეშფოთება იმავე დღეს გადააგზავნეთ დასახელებულ დაცვის ხელმძღვანელთან.</w:t>
      </w:r>
    </w:p>
    <w:p>
      <w:pPr>
        <w:numPr>
          <w:ilvl w:val="0"/>
          <w:numId w:val="1001"/>
        </w:numPr>
        <w:pStyle w:val="Compact"/>
      </w:pPr>
      <w:r>
        <w:t>ყოველ გადასინჯვაზე შეამოწმეთ, რომ დაცვის ზომები მოქმედებს.</w:t>
      </w:r>
    </w:p>
    <w:p>
      <w:pPr>
        <w:numPr>
          <w:ilvl w:val="0"/>
          <w:numId w:val="1001"/>
        </w:numPr>
        <w:pStyle w:val="Compact"/>
      </w:pPr>
      <w:r>
        <w:t>მაშინვე შეწყვიტეთ და მოითხოვეთ დახმარება, თუ: რისკის ქვეშ მყოფი ბავშვი ან მოზრდილი მიღებულია და დაცვის შემოწმება ჩანაწერში არ არის ასახული.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საავადმყოფოში ზიანის ყველაზე დიდი რისკის ქვეშ მყოფი პაციენტების დასაცავად (S1.16).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ბავშვები, შშმ პირები და ქმედუნარიანობის არმქონე პაციენტები შეიძლება დაზიანდნენ ისე, რომ ვერავინ შეამჩნიოს. დასახელებული დაცვის ხელმძღვანელი და მოვლის გეგმაში არსებული ნიშანი მათ იცავს.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მიმღები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>ავლენს და ნიშნავს დაუცველ პაციენტებს</w:t>
            </w:r>
          </w:p>
        </w:tc>
        <w:tc>
          <w:tcPr/>
          <w:p>
            <w:pPr>
              <w:pStyle w:val="Compact"/>
              <w:jc w:val="left"/>
            </w:pPr>
            <w:r>
              <w:t>გადამზადებული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დაცვის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იღებს მიმართვებს; მოქმედებს; აწარმოებს ჩანაწერებს</w:t>
            </w:r>
          </w:p>
        </w:tc>
        <w:tc>
          <w:tcPr/>
          <w:p>
            <w:pPr>
              <w:pStyle w:val="Compact"/>
              <w:jc w:val="left"/>
            </w:pPr>
            <w:r>
              <w:t>დასახელებული უფროსი კლინიცისტი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დაუცველობის ნიშანი (HOS-FRM-010)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>მიღების ჩანაწერში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გამოავლინეთ.</w:t>
      </w:r>
    </w:p>
    <w:p>
      <w:pPr>
        <w:numPr>
          <w:ilvl w:val="0"/>
          <w:numId w:val="1004"/>
        </w:numPr>
        <w:pStyle w:val="Compact"/>
      </w:pPr>
      <w:r>
        <w:t>მიღებისას დასვით დადგენილი კითხვები.</w:t>
      </w:r>
    </w:p>
    <w:p>
      <w:pPr>
        <w:numPr>
          <w:ilvl w:val="0"/>
          <w:numId w:val="1004"/>
        </w:numPr>
        <w:pStyle w:val="Compact"/>
      </w:pPr>
      <w:r>
        <w:t>შეამჩნიეთ ძალადობის, უყურადღებობის ან ქმედუნარიანობის არქონის ნიშნები.</w:t>
      </w:r>
    </w:p>
    <w:p>
      <w:pPr>
        <w:pStyle w:val="FirstParagraph"/>
      </w:pPr>
      <w:r>
        <w:rPr>
          <w:bCs/>
          <w:b/>
        </w:rPr>
        <w:t>მთავარი: ჰკითხეთ ყველა პაციენტს.</w:t>
      </w:r>
      <w:r/>
      <w:r/>
    </w:p>
    <w:p>
      <w:pPr>
        <w:pStyle w:val="BodyText"/>
      </w:pPr>
      <w:r>
        <w:t>ნაბიჯი 2. აღნიშნეთ და დაგეგმეთ.</w:t>
      </w:r>
    </w:p>
    <w:p>
      <w:pPr>
        <w:numPr>
          <w:ilvl w:val="0"/>
          <w:numId w:val="1005"/>
        </w:numPr>
        <w:pStyle w:val="Compact"/>
      </w:pPr>
      <w:r>
        <w:t>აღნიშნეთ ნიშანი HOS-FRM-010-ში.</w:t>
      </w:r>
    </w:p>
    <w:p>
      <w:pPr>
        <w:numPr>
          <w:ilvl w:val="0"/>
          <w:numId w:val="1005"/>
        </w:numPr>
        <w:pStyle w:val="Compact"/>
      </w:pPr>
      <w:r>
        <w:t>ჩაწერეთ დაცვის ზომა მოვლის გეგმაში.</w:t>
      </w:r>
    </w:p>
    <w:p>
      <w:pPr>
        <w:pStyle w:val="FirstParagraph"/>
      </w:pPr>
      <w:r>
        <w:rPr>
          <w:bCs/>
          <w:b/>
        </w:rPr>
        <w:t>მთავარი: ნიშანი აუცილებლად უნდა მოხვდეს მოვლის გეგმაში.</w:t>
      </w:r>
      <w:r/>
      <w:r/>
    </w:p>
    <w:p>
      <w:pPr>
        <w:pStyle w:val="BodyText"/>
      </w:pPr>
      <w:r>
        <w:t>ნაბიჯი 3. გადაამისამართეთ.</w:t>
      </w:r>
    </w:p>
    <w:p>
      <w:pPr>
        <w:numPr>
          <w:ilvl w:val="0"/>
          <w:numId w:val="1006"/>
        </w:numPr>
        <w:pStyle w:val="Compact"/>
      </w:pPr>
      <w:r>
        <w:t>ყოველი შეშფოთება იმავე დღეს გადააგზავნეთ დაცვის ხელმძღვანელთან.</w:t>
      </w:r>
    </w:p>
    <w:p>
      <w:pPr>
        <w:pStyle w:val="FirstParagraph"/>
      </w:pPr>
      <w:r>
        <w:rPr>
          <w:bCs/>
          <w:b/>
        </w:rPr>
        <w:t>მთავარი: არ გამოიძიოთ მარტო.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მიღებები ნიშნით, სადაც ეს საჭიროა</w:t>
            </w:r>
          </w:p>
        </w:tc>
        <w:tc>
          <w:tcPr/>
          <w:p>
            <w:pPr>
              <w:pStyle w:val="Compact"/>
              <w:jc w:val="left"/>
            </w:pPr>
            <w:r>
              <w:t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დაცვის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შეშფოთება იმავე დღეს გადამისამართებული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დაცვის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9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HOS-FRM-010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დაუცველობის ნიშნის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CON-SOP-001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ინფორმირებული თანხმობა მნიშვნელოვანი მოვლის დაწყებამდე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>თანხმობა ქმედუნარიანობის არმქონე პირებისთვის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E-004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 on safeguarding.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1"/>
    <w:bookmarkStart w:id="44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0"/>
        </w:numPr>
        <w:pStyle w:val="Compact"/>
      </w:pPr>
      <w:r>
        <w:t>ASF Expert Committee (2026). Expert consensus. No external reference identified. (E-004)</w:t>
      </w:r>
      <w:r/>
      <w:r/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Standard 2: Governance and Safety Culture</w:t>
        </w:r>
      </w:hyperlink>
    </w:p>
    <w:bookmarkEnd w:id="44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8" Type="http://schemas.openxmlformats.org/officeDocument/2006/relationships/hyperlink" Target="/documents/con-sop-001/" TargetMode="External"/><Relationship Id="rId37" Type="http://schemas.openxmlformats.org/officeDocument/2006/relationships/hyperlink" Target="/documents/hos-frm-010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2/" TargetMode="External"/><Relationship Id="rId42" Type="http://schemas.openxmlformats.org/officeDocument/2006/relationships/hyperlink" Target="https://france-asf.fr/wp-content/uploads/2026/10/hos-sop-013-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8" Type="http://schemas.openxmlformats.org/officeDocument/2006/relationships/hyperlink" Target="/documents/con-sop-001/" TargetMode="External"/><Relationship Id="rId37" Type="http://schemas.openxmlformats.org/officeDocument/2006/relationships/hyperlink" Target="/documents/hos-frm-010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2/" TargetMode="External"/><Relationship Id="rId42" Type="http://schemas.openxmlformats.org/officeDocument/2006/relationships/hyperlink" Target="https://france-asf.fr/wp-content/uploads/2026/10/hos-sop-013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HOS-SOP-013: Vulnerable patients and safeguarding</dc:title>
  <dc:creator/>
  <cp:keywords/>
  <dcterms:created xsi:type="dcterms:W3CDTF">2026-10-28T21:34:36Z</dcterms:created>
  <dcterms:modified xsi:type="dcterms:W3CDTF">2026-10-28T21:34:36Z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