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HOS-SOP-014: ჯანდაცვასთან დაკავშირებული ინფექციების ზედამხედველობა და რეაგირება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ჯანდაცვასთან დაკავშირებული ინფექციების ზედამხედველობა და რეაგირება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HOS-SOP-014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HOS-SOP-014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S1.18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 თვეში დაითვალეთ ჯანდაცვასთან დაკავშირებული ინფექციები ტიპისა და პალატის მიხედვით.</w:t>
      </w:r>
    </w:p>
    <w:p>
      <w:pPr>
        <w:numPr>
          <w:ilvl w:val="0"/>
          <w:numId w:val="1001"/>
        </w:numPr>
        <w:pStyle w:val="Compact"/>
      </w:pPr>
      <w:r>
        <w:t>ყოველ კვარტალში გადახედეთ მაჩვენებლებს.</w:t>
      </w:r>
    </w:p>
    <w:p>
      <w:pPr>
        <w:numPr>
          <w:ilvl w:val="0"/>
          <w:numId w:val="1001"/>
        </w:numPr>
        <w:pStyle w:val="Compact"/>
      </w:pPr>
      <w:r>
        <w:t>ყოველი მატებისას იმოქმედეთ გამოძიებითა და ქმედებით.</w:t>
      </w:r>
    </w:p>
    <w:p>
      <w:pPr>
        <w:numPr>
          <w:ilvl w:val="0"/>
          <w:numId w:val="1001"/>
        </w:numPr>
        <w:pStyle w:val="Compact"/>
      </w:pPr>
      <w:r>
        <w:t>შედეგები წარუდგინეთ მართვის შეხვედრას.</w:t>
      </w:r>
    </w:p>
    <w:p>
      <w:pPr>
        <w:numPr>
          <w:ilvl w:val="0"/>
          <w:numId w:val="1001"/>
        </w:numPr>
        <w:pStyle w:val="Compact"/>
      </w:pPr>
      <w:r>
        <w:t>მაშინვე შეწყვიტეთ და მოითხოვეთ დახმარება, თუ: ორი თვის განმავლობაში ყოველთვიური ინფექციების დათვლა არ არის ჩაწერილი.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ჯანდაცვასთან დაკავშირებული ინფექციების დროში თვალყურის დევნებისა და მათი მატებისას მოქმედებისთვის (S1.18). დაფუძნებულია WHO-ს IPC პროგრამების ძირითად კომპონენტებზე.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ჯანდაცვასთან დაკავშირებული ინფექციები ხშირია და ხშირად თავიდან ასაცილებელია. მაჩვენებლის დროში თვალყურის დევნება აჩვენებს, მუშაობს თუ არა პრევენცია.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ინფექციების პრევენციისა და კონტროლის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უძღვება ზედამხედველობასა და ანგარიშგებას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კონტროლი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აცნობებს ინფექციებს; მოქმედებს მატებისას</w:t>
            </w:r>
          </w:p>
        </w:tc>
        <w:tc>
          <w:tcPr/>
          <w:p>
            <w:pPr>
              <w:pStyle w:val="Compact"/>
              <w:jc w:val="left"/>
            </w:pPr>
            <w:r>
              <w:t>ექთნების მენეჯერი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ზედამხედველობის რეგისტრი (HOS-REG-005)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 განახლდება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დათვალეთ.</w:t>
      </w:r>
    </w:p>
    <w:p>
      <w:pPr>
        <w:numPr>
          <w:ilvl w:val="0"/>
          <w:numId w:val="1004"/>
        </w:numPr>
        <w:pStyle w:val="Compact"/>
      </w:pPr>
      <w:r>
        <w:t>ჩაწერეთ თითოეული ინფექცია ტიპის, პალატისა და თარიღის მითითებით, შეთანხმებული განმარტებების გამოყენებით.</w:t>
      </w:r>
    </w:p>
    <w:p>
      <w:pPr>
        <w:pStyle w:val="FirstParagraph"/>
      </w:pPr>
      <w:r>
        <w:rPr>
          <w:bCs/>
          <w:b/>
        </w:rPr>
        <w:t>მთავარი: ყოველ თვეში ერთი და იგივე განმარტებები.</w:t>
      </w:r>
      <w:r/>
      <w:r/>
    </w:p>
    <w:p>
      <w:pPr>
        <w:pStyle w:val="BodyText"/>
      </w:pPr>
      <w:r>
        <w:t>ნაბიჯი 2. გადახედეთ.</w:t>
      </w:r>
    </w:p>
    <w:p>
      <w:pPr>
        <w:numPr>
          <w:ilvl w:val="0"/>
          <w:numId w:val="1005"/>
        </w:numPr>
        <w:pStyle w:val="Compact"/>
      </w:pPr>
      <w:r>
        <w:t>ყოველ კვარტალში გამოთვალეთ მაჩვენებლები და შეადარეთ წინა წელს.</w:t>
      </w:r>
    </w:p>
    <w:p>
      <w:pPr>
        <w:pStyle w:val="FirstParagraph"/>
      </w:pPr>
      <w:r>
        <w:rPr>
          <w:bCs/>
          <w:b/>
        </w:rPr>
        <w:t>მთავარი: ტენდენციები უფრო მნიშვნელოვანია, ვიდრე ცალკეული თვეები.</w:t>
      </w:r>
      <w:r/>
      <w:r/>
    </w:p>
    <w:p>
      <w:pPr>
        <w:pStyle w:val="BodyText"/>
      </w:pPr>
      <w:r>
        <w:t>ნაბიჯი 3. მოიქეცით მატებაზე.</w:t>
      </w:r>
    </w:p>
    <w:p>
      <w:pPr>
        <w:numPr>
          <w:ilvl w:val="0"/>
          <w:numId w:val="1006"/>
        </w:numPr>
        <w:pStyle w:val="Compact"/>
      </w:pPr>
      <w:r>
        <w:t>გამოიკვლიეთ მიზეზი.</w:t>
      </w:r>
    </w:p>
    <w:p>
      <w:pPr>
        <w:numPr>
          <w:ilvl w:val="0"/>
          <w:numId w:val="1006"/>
        </w:numPr>
        <w:pStyle w:val="Compact"/>
      </w:pPr>
      <w:r>
        <w:t>შეათანხმეთ ქმედება პასუხისმგებელი პირით და ვადით.</w:t>
      </w:r>
    </w:p>
    <w:p>
      <w:pPr>
        <w:pStyle w:val="FirstParagraph"/>
      </w:pPr>
      <w:r>
        <w:rPr>
          <w:bCs/>
          <w:b/>
        </w:rPr>
        <w:t>მთავარი: მატება, რომელსაც ქმედება არ მოჰყვება, რეაგირების გარეშე რჩება.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ყოველთვიური დათვლები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მატებები ქმედებით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ინფექციების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მართვის ორგანოს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HOS-REG-005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ჯანდაცვასთან დაკავშირებული ინფექციების ზედამხედველობის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E-002</w:t>
            </w:r>
          </w:p>
        </w:tc>
        <w:tc>
          <w:tcPr/>
          <w:p>
            <w:pPr>
              <w:pStyle w:val="Compact"/>
              <w:jc w:val="left"/>
            </w:pPr>
            <w:r>
              <w:t>WHO Core components of IPC programmes (2016).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0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0"/>
        </w:numPr>
        <w:pStyle w:val="Compact"/>
      </w:pPr>
      <w:r>
        <w:t>World Health Organization (2016). Guidelines on Core Components of Infection Prevention and Control Programmes at the National and Acute Health Care Facility Level. Geneva: WHO.  (E-002)</w:t>
      </w:r>
      <w:r/>
      <w:hyperlink r:id="rId41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2: Governance and Safety Culture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5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/" TargetMode="External"/><Relationship Id="rId42" Type="http://schemas.openxmlformats.org/officeDocument/2006/relationships/hyperlink" Target="https://france-asf.fr/wp-content/uploads/2026/10/hos-sop-014-1.pdf" TargetMode="External"/><Relationship Id="rId41" Type="http://schemas.openxmlformats.org/officeDocument/2006/relationships/hyperlink" Target="https://www.who.int/publications/i/item/guidelines-on-core-components-of-infection-prevention-and-control-programmes-at-the-national-and-acute-health-care-facility-leve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5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2/" TargetMode="External"/><Relationship Id="rId42" Type="http://schemas.openxmlformats.org/officeDocument/2006/relationships/hyperlink" Target="https://france-asf.fr/wp-content/uploads/2026/10/hos-sop-014-1.pdf" TargetMode="External"/><Relationship Id="rId41" Type="http://schemas.openxmlformats.org/officeDocument/2006/relationships/hyperlink" Target="https://www.who.int/publications/i/item/guidelines-on-core-components-of-infection-prevention-and-control-programmes-at-the-national-and-acute-health-care-facility-le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HOS-SOP-014: Healthcare-associated infection surveillance and response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