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>HOS-SOP-016: ელექტრონული სისტემის მწყობრიდან გამოსვლა</w:t>
      </w:r>
      <w:r/>
      <w:r/>
      <w:r/>
      <w:r/>
      <w:r/>
      <w:r/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>ორგანიზაციის სახელი</w:t>
            </w:r>
          </w:p>
          <w:p>
            <w:pPr>
              <w:pStyle w:val="Compact"/>
              <w:jc w:val="left"/>
            </w:pPr>
            <w:r>
              <w:t>ობიექტი ან განყოფილება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>ელექტრონული სისტემის მწყობრიდან გამოსვლა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>HOS-SOP-016</w:t>
            </w:r>
          </w:p>
        </w:tc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ცვლის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>სტანდარტები › სტანდარტი S1 › სტანდარტული საოპერაციო პროცედურები (SOP)</w:t>
        </w:r>
      </w:hyperlink>
      <w:r/>
      <w:r/>
      <w:r/>
      <w:r/>
      <w:r/>
      <w:r/>
      <w:r/>
      <w:hyperlink r:id="rId21">
        <w:r>
          <w:rPr>
            <w:rStyle w:val="Hyperlink"/>
          </w:rPr>
        </w:r>
      </w:hyperlink>
    </w:p>
    <w:p>
      <w:pPr>
        <w:pStyle w:val="BodyText"/>
      </w:pPr>
      <w:r>
        <w:t>სტანდარტული საოპერაციო პროცედურა (SOP) · HOS-SOP-016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>მხარს უჭერს: სისტემა S1 (საავადმყოფო), კრიტერიუმი S1.22</w:t>
      </w:r>
      <w:r/>
      <w:r/>
    </w:p>
    <w:p>
      <w:pPr>
        <w:pStyle w:val="BodyText"/>
      </w:pPr>
      <w:r>
        <w:t>მოკლედ</w:t>
      </w:r>
    </w:p>
    <w:p>
      <w:pPr>
        <w:numPr>
          <w:ilvl w:val="0"/>
          <w:numId w:val="1001"/>
        </w:numPr>
        <w:pStyle w:val="Compact"/>
      </w:pPr>
      <w:r>
        <w:t>როცა სისტემა არ მუშაობს, ნელია ან მცდარია, დაუყოვნებლივ გადართეთ ქაღალდის მარშრუტზე.</w:t>
      </w:r>
    </w:p>
    <w:p>
      <w:pPr>
        <w:numPr>
          <w:ilvl w:val="0"/>
          <w:numId w:val="1001"/>
        </w:numPr>
        <w:pStyle w:val="Compact"/>
      </w:pPr>
      <w:r>
        <w:t>გამოიყენეთ ქაღალდის რეცეპტი და გაცემის ფორმა.</w:t>
      </w:r>
    </w:p>
    <w:p>
      <w:pPr>
        <w:numPr>
          <w:ilvl w:val="0"/>
          <w:numId w:val="1001"/>
        </w:numPr>
        <w:pStyle w:val="Compact"/>
      </w:pPr>
      <w:r>
        <w:t>ხელით შეასრულეთ ის შემოწმებები, რომლებსაც პროგრამა ჩვეულებრივ ასრულებს.</w:t>
      </w:r>
    </w:p>
    <w:p>
      <w:pPr>
        <w:numPr>
          <w:ilvl w:val="0"/>
          <w:numId w:val="1001"/>
        </w:numPr>
        <w:pStyle w:val="Compact"/>
      </w:pPr>
      <w:r>
        <w:t>სისტემის აღდგენისას ქაღალდის ჩანაწერები შეიტანეთ სისტემაში და შეამოწმეთ ისინი.</w:t>
      </w:r>
    </w:p>
    <w:p>
      <w:pPr>
        <w:numPr>
          <w:ilvl w:val="0"/>
          <w:numId w:val="1001"/>
        </w:numPr>
        <w:pStyle w:val="Compact"/>
      </w:pPr>
      <w:r>
        <w:t>დაუყოვნებლივ შეწყვიტეთ და დახმარება მოითხოვეთ, თუ: დანიშვნა ან გაცემა გრძელდება ქაღალდის მარშრუტისა და შემოწმებების გარეშე.</w:t>
      </w:r>
    </w:p>
    <w:bookmarkStart w:id="22" w:name="purpose"/>
    <w:p>
      <w:pPr>
        <w:pStyle w:val="Heading2"/>
      </w:pPr>
      <w:r>
        <w:t>1. მიზანი</w:t>
      </w:r>
    </w:p>
    <w:p>
      <w:pPr>
        <w:pStyle w:val="FirstParagraph"/>
      </w:pPr>
      <w:r>
        <w:t>საშუალებების უსაფრთხოების შესანარჩუნებლად, როცა ელექტრონული სისტემა არ მუშაობს (S1.22). პროგრამის ჩვეულებრივი შემოწმებები მაინც უნდა შესრულდეს.</w:t>
      </w:r>
    </w:p>
    <w:bookmarkEnd w:id="22"/>
    <w:bookmarkStart w:id="23" w:name="scope"/>
    <w:p>
      <w:pPr>
        <w:pStyle w:val="Heading2"/>
      </w:pPr>
      <w:r>
        <w:t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>საქმიანობები, რომლებსაც ფარავს სხვა დოკუმენტი, ჩამოთვლილი 15-ე განყოფილებაში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>ექიმი ან ექთანი, რომელიც იმ დროს ხელმძღვანელობს სივრცეს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>4. საფუძვლები</w:t>
      </w:r>
    </w:p>
    <w:p>
      <w:pPr>
        <w:pStyle w:val="FirstParagraph"/>
      </w:pPr>
      <w:r>
        <w:t>როცა პროგრამა ვერ მუშაობს, საშუალებები მაინც უსაფრთხო უნდა იყოს. დაწერილი და შემოწმებული პროცედურა ინარჩუნებს მაღალი რისკის საშუალებების ხელით შემოწმებას.</w:t>
      </w:r>
    </w:p>
    <w:bookmarkEnd w:id="25"/>
    <w:bookmarkStart w:id="26" w:name="responsibilities"/>
    <w:p>
      <w:pPr>
        <w:pStyle w:val="Heading2"/>
      </w:pPr>
      <w:r>
        <w:t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როლი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მორიგე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>აცხადებს შეწყვეტას და ატყობინებს პერსონალს</w:t>
            </w:r>
          </w:p>
        </w:tc>
        <w:tc>
          <w:tcPr/>
          <w:p>
            <w:pPr>
              <w:pStyle w:val="Compact"/>
              <w:jc w:val="left"/>
            </w:pPr>
            <w:r>
              <w:t>უფროსი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ფლობს ქაღალდის მარშრუტს და მის შემოწმებებს</w:t>
            </w:r>
          </w:p>
        </w:tc>
        <w:tc>
          <w:tcPr/>
          <w:p>
            <w:pPr>
              <w:pStyle w:val="Compact"/>
              <w:jc w:val="left"/>
            </w:pPr>
            <w:r>
              <w:t>ფარმაცევტი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საშუალება</w:t>
            </w:r>
          </w:p>
        </w:tc>
        <w:tc>
          <w:tcPr/>
          <w:p>
            <w:pPr>
              <w:pStyle w:val="Compact"/>
              <w:jc w:val="left"/>
            </w:pPr>
            <w:r>
              <w:t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შეწყვეტის პერიოდის რეცეპტისა და გაცემის ფორმა (HOS-FRM-014)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მოქმედი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 სივრცეში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>7. უსაფრთხოება</w:t>
      </w:r>
    </w:p>
    <w:p>
      <w:pPr>
        <w:numPr>
          <w:ilvl w:val="0"/>
          <w:numId w:val="1002"/>
        </w:numPr>
        <w:pStyle w:val="Compact"/>
      </w:pPr>
      <w:r>
        <w:t>თუ პაციენტს უშუალო რისკი ემუქრება, შეწყვიტეთ და დახმარება გამოიძახეთ. გადაუდებელი მკურნალობა არ გადადოთ საბუთების შესავსებად.</w:t>
      </w:r>
    </w:p>
    <w:bookmarkEnd w:id="28"/>
    <w:bookmarkStart w:id="29" w:name="before-you-start"/>
    <w:p>
      <w:pPr>
        <w:pStyle w:val="Heading2"/>
      </w:pPr>
      <w:r>
        <w:t>8. დაწყებამდე</w:t>
      </w:r>
    </w:p>
    <w:p>
      <w:pPr>
        <w:numPr>
          <w:ilvl w:val="0"/>
          <w:numId w:val="1003"/>
        </w:numPr>
        <w:pStyle w:val="Compact"/>
      </w:pPr>
      <w:r>
        <w:t>დაადასტურეთ, რომ ამ დოკუმენტში დასახელებული ფორმები და აღჭურვილობა ხელმისაწვდომი და აქტუალურია.</w:t>
      </w:r>
    </w:p>
    <w:bookmarkEnd w:id="29"/>
    <w:bookmarkStart w:id="30" w:name="procedure"/>
    <w:p>
      <w:pPr>
        <w:pStyle w:val="Heading2"/>
      </w:pPr>
      <w:r>
        <w:t>9. პროცედურა</w:t>
      </w:r>
    </w:p>
    <w:p>
      <w:pPr>
        <w:pStyle w:val="FirstParagraph"/>
      </w:pPr>
      <w:r>
        <w:t>ნაბიჯი 1. გამოაცხადეთ.</w:t>
      </w:r>
    </w:p>
    <w:p>
      <w:pPr>
        <w:numPr>
          <w:ilvl w:val="0"/>
          <w:numId w:val="1004"/>
        </w:numPr>
        <w:pStyle w:val="Compact"/>
      </w:pPr>
      <w:r>
        <w:t>მორიგე მენეჯერი აცხადებს შეწყვეტას და ატყობინებს განყოფილებებსა და აფთიაქს.</w:t>
      </w:r>
    </w:p>
    <w:p>
      <w:pPr>
        <w:pStyle w:val="FirstParagraph"/>
      </w:pPr>
      <w:r>
        <w:rPr>
          <w:bCs/>
          <w:b/>
        </w:rPr>
        <w:t>მთავარი აზრი: ყველა ერთდროულად გადადის.</w:t>
      </w:r>
      <w:r/>
      <w:r/>
    </w:p>
    <w:p>
      <w:pPr>
        <w:pStyle w:val="BodyText"/>
      </w:pPr>
      <w:r>
        <w:t>ნაბიჯი 2. დანიშნეთ ქაღალდზე.</w:t>
      </w:r>
    </w:p>
    <w:p>
      <w:pPr>
        <w:numPr>
          <w:ilvl w:val="0"/>
          <w:numId w:val="1005"/>
        </w:numPr>
        <w:pStyle w:val="Compact"/>
      </w:pPr>
      <w:r>
        <w:t>გამოიყენეთ HOS-FRM-014.</w:t>
      </w:r>
    </w:p>
    <w:p>
      <w:pPr>
        <w:numPr>
          <w:ilvl w:val="0"/>
          <w:numId w:val="1005"/>
        </w:numPr>
        <w:pStyle w:val="Compact"/>
      </w:pPr>
      <w:r>
        <w:t>ხელით შეამოწმეთ ალერგიები, წონა, თირკმლის ფუნქცია და ურთიერთქმედებები.</w:t>
      </w:r>
    </w:p>
    <w:p>
      <w:pPr>
        <w:pStyle w:val="FirstParagraph"/>
      </w:pPr>
      <w:r>
        <w:rPr>
          <w:bCs/>
          <w:b/>
        </w:rPr>
        <w:t>მთავარი აზრი: პროგრამული შემოწმებები ახლა თქვენზეა.</w:t>
      </w:r>
      <w:r/>
      <w:r/>
    </w:p>
    <w:p>
      <w:pPr>
        <w:pStyle w:val="BodyText"/>
      </w:pPr>
      <w:r>
        <w:t>ნაბიჯი 3. გასცით და შეამოწმეთ.</w:t>
      </w:r>
    </w:p>
    <w:p>
      <w:pPr>
        <w:numPr>
          <w:ilvl w:val="0"/>
          <w:numId w:val="1006"/>
        </w:numPr>
        <w:pStyle w:val="Compact"/>
      </w:pPr>
      <w:r>
        <w:t>თითოეული საშუალება შეადარეთ ქაღალდის რეცეპტს.</w:t>
      </w:r>
    </w:p>
    <w:p>
      <w:pPr>
        <w:numPr>
          <w:ilvl w:val="0"/>
          <w:numId w:val="1006"/>
        </w:numPr>
        <w:pStyle w:val="Compact"/>
      </w:pPr>
      <w:r>
        <w:t>შემოწმება დააფიქსირეთ ფორმაზე.</w:t>
      </w:r>
    </w:p>
    <w:p>
      <w:pPr>
        <w:pStyle w:val="FirstParagraph"/>
      </w:pPr>
      <w:r>
        <w:rPr>
          <w:bCs/>
          <w:b/>
        </w:rPr>
        <w:t>მთავარი აზრი: მაღალი რისკის საშუალებებისთვის ორი ხელმოწერა.</w:t>
      </w:r>
      <w:r/>
      <w:r/>
    </w:p>
    <w:p>
      <w:pPr>
        <w:pStyle w:val="BodyText"/>
      </w:pPr>
      <w:r>
        <w:t>ნაბიჯი 4. დაუბრუნდით სისტემას.</w:t>
      </w:r>
    </w:p>
    <w:p>
      <w:pPr>
        <w:numPr>
          <w:ilvl w:val="0"/>
          <w:numId w:val="1007"/>
        </w:numPr>
        <w:pStyle w:val="Compact"/>
      </w:pPr>
      <w:r>
        <w:t>სისტემის აღდგენისას შეიტანეთ ქაღალდის ჩანაწერები.</w:t>
      </w:r>
    </w:p>
    <w:p>
      <w:pPr>
        <w:numPr>
          <w:ilvl w:val="0"/>
          <w:numId w:val="1007"/>
        </w:numPr>
        <w:pStyle w:val="Compact"/>
      </w:pPr>
      <w:r>
        <w:t>ჩანაწერები შეადარეთ ქაღალდს.</w:t>
      </w:r>
    </w:p>
    <w:p>
      <w:pPr>
        <w:pStyle w:val="FirstParagraph"/>
      </w:pPr>
      <w:r>
        <w:rPr>
          <w:bCs/>
          <w:b/>
        </w:rPr>
        <w:t>მთავარი აზრი: არაფერი არ რჩება შეუტანელი.</w:t>
      </w:r>
      <w:r/>
      <w:r/>
    </w:p>
    <w:bookmarkEnd w:id="30"/>
    <w:bookmarkStart w:id="31" w:name="decision-points"/>
    <w:p>
      <w:pPr>
        <w:pStyle w:val="Heading2"/>
      </w:pPr>
      <w:r>
        <w:t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>ამ პროცედურაში გადაწყვეტილების წერტილები არ არის.</w:t>
      </w:r>
    </w:p>
    <w:bookmarkEnd w:id="31"/>
    <w:bookmarkStart w:id="32" w:name="special-situations"/>
    <w:p>
      <w:pPr>
        <w:pStyle w:val="Heading2"/>
      </w:pPr>
      <w:r>
        <w:t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მდგომარეობა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>მიჰყევით იმავე ნაბიჯებს. გამოიყენეთ სივრცის კედელზე მითითებული სამორიგეო საკონტაქტო მონაცემი.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>12. ესკალაცია</w:t>
      </w:r>
    </w:p>
    <w:p>
      <w:pPr>
        <w:numPr>
          <w:ilvl w:val="0"/>
          <w:numId w:val="1009"/>
        </w:numPr>
        <w:pStyle w:val="Compact"/>
      </w:pPr>
      <w:r>
        <w:t>ყოველი სერიოზული პრობლემა დაუყოვნებლივ გადაეცემა მორიგე კლინიკურ ხელმძღვანელს, იმავე დღეს კი — კლინიკურ დირექტორს.</w:t>
      </w:r>
    </w:p>
    <w:bookmarkEnd w:id="33"/>
    <w:bookmarkStart w:id="34" w:name="monitoring"/>
    <w:p>
      <w:pPr>
        <w:pStyle w:val="Heading2"/>
      </w:pPr>
      <w:r>
        <w:t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>თუ არ შესრულდება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მწყობრიდან გამოსვლის შემთხვევები, როცა გამოყენებულია ქაღალდის მარშრუტი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ყოველი შემთხვევა</w:t>
            </w:r>
          </w:p>
        </w:tc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ქაღალდის მარშრუტის წვრთნები ბოლო 12 თვეში</w:t>
            </w:r>
          </w:p>
        </w:tc>
        <w:tc>
          <w:tcPr/>
          <w:p>
            <w:pPr>
              <w:pStyle w:val="Compact"/>
              <w:jc w:val="left"/>
            </w:pPr>
            <w:r>
              <w:t>100%</w:t>
            </w:r>
          </w:p>
        </w:tc>
        <w:tc>
          <w:tcPr/>
          <w:p>
            <w:pPr>
              <w:pStyle w:val="Compact"/>
              <w:jc w:val="left"/>
            </w:pPr>
            <w:r>
              <w:t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>მთავარი ფარმაცევტი</w:t>
            </w:r>
          </w:p>
        </w:tc>
        <w:tc>
          <w:tcPr/>
          <w:p>
            <w:pPr>
              <w:pStyle w:val="Compact"/>
              <w:jc w:val="left"/>
            </w:pPr>
            <w:r>
              <w:t>ესკალაცია მთავარ აღმასრულებელთან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შენახვა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პაციენტის ისტორია ან სივრცის საქაღალდე</w:t>
            </w:r>
          </w:p>
        </w:tc>
        <w:tc>
          <w:tcPr/>
          <w:p>
            <w:pPr>
              <w:pStyle w:val="Compact"/>
              <w:jc w:val="left"/>
            </w:pPr>
            <w:r>
              <w:t>წლები, რომელსაც განსაზღვრავს დაწესებულების ჩანაწერების პოლიტიკა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>15. ტრენინგი</w:t>
      </w:r>
    </w:p>
    <w:p>
      <w:pPr>
        <w:numPr>
          <w:ilvl w:val="0"/>
          <w:numId w:val="1010"/>
        </w:numPr>
        <w:pStyle w:val="Compact"/>
      </w:pPr>
      <w:r>
        <w:t>პერსონალი ამ დოკუმენტში ვარჯიშობს დანიშვნისას და ყოველწლიურად ახლდება, კომპეტენციის დაფიქსირებული შემოწმებით.</w:t>
      </w:r>
    </w:p>
    <w:bookmarkEnd w:id="36"/>
    <w:bookmarkStart w:id="39" w:name="related-documents"/>
    <w:p>
      <w:pPr>
        <w:pStyle w:val="Heading2"/>
      </w:pPr>
      <w:r>
        <w:t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ID</w:t>
            </w:r>
          </w:p>
        </w:tc>
        <w:tc>
          <w:tcPr/>
          <w:p>
            <w:pPr>
              <w:pStyle w:val="Compact"/>
              <w:jc w:val="left"/>
            </w:pPr>
            <w:r>
              <w:t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>HOS-FRM-014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შეწყვეტის პერიოდის რეცეპტისა და გაცემის ფორმა</w:t>
            </w:r>
          </w:p>
        </w:tc>
        <w:tc>
          <w:tcPr/>
          <w:p>
            <w:pPr>
              <w:pStyle w:val="Compact"/>
              <w:jc w:val="left"/>
            </w:pPr>
            <w:r>
              <w:t>ფორმა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>HOS-REG-004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>რეპეტიციისა და წვრთნის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>წვრთნის ჩანაწერი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E-007</w:t>
            </w:r>
          </w:p>
        </w:tc>
        <w:tc>
          <w:tcPr/>
          <w:p>
            <w:pPr>
              <w:pStyle w:val="Compact"/>
              <w:jc w:val="left"/>
            </w:pPr>
            <w:r>
              <w:t>WHO Nine patient safety solutions (2007).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Medication Without Harm (WHO 2017).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E-006</w:t>
            </w:r>
          </w:p>
        </w:tc>
        <w:tc>
          <w:tcPr/>
          <w:p>
            <w:pPr>
              <w:pStyle w:val="Compact"/>
              <w:jc w:val="left"/>
            </w:pPr>
            <w:r>
              <w:t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E-009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>1.0</w:t>
            </w:r>
          </w:p>
        </w:tc>
        <w:tc>
          <w:tcPr/>
          <w:p>
            <w:pPr>
              <w:pStyle w:val="Compact"/>
              <w:jc w:val="left"/>
            </w:pPr>
            <w:r>
              <w:t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>ASF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>ამ დოკუმენტთან ჯერ არ არის დაკავშირებული ელექტრონული კურსი.</w:t>
      </w:r>
    </w:p>
    <w:bookmarkEnd w:id="41"/>
    <w:bookmarkStart w:id="45" w:name="references"/>
    <w:p>
      <w:pPr>
        <w:pStyle w:val="Heading2"/>
      </w:pPr>
      <w:r>
        <w:t>მითითებები</w:t>
      </w:r>
    </w:p>
    <w:p>
      <w:pPr>
        <w:numPr>
          <w:ilvl w:val="0"/>
          <w:numId w:val="1011"/>
        </w:numPr>
        <w:pStyle w:val="Compact"/>
      </w:pPr>
      <w:r>
        <w:t>Accréditation Sans Frontières (2026). ASF Policy Framework v1.2. (E-006)</w:t>
      </w:r>
      <w:r/>
      <w:r/>
    </w:p>
    <w:p>
      <w:pPr>
        <w:numPr>
          <w:ilvl w:val="0"/>
          <w:numId w:val="1011"/>
        </w:numPr>
        <w:pStyle w:val="Compact"/>
      </w:pPr>
      <w:r>
        <w:t>Accréditation Sans Frontières (2026). ASF Expert Committee consensus on Standard 1. (E-009)</w:t>
      </w:r>
      <w:r/>
      <w:r/>
    </w:p>
    <w:p>
      <w:pPr>
        <w:numPr>
          <w:ilvl w:val="0"/>
          <w:numId w:val="1011"/>
        </w:numPr>
        <w:pStyle w:val="Compact"/>
      </w:pPr>
      <w:r>
        <w:t>World Health Organization (2007). Nine patient safety solutions, including correct patient identification. Geneva: WHO. ღია წყარო (E-007)</w:t>
      </w:r>
      <w:r/>
      <w:hyperlink r:id="rId42">
        <w:r>
          <w:rPr>
            <w:rStyle w:val="Hyperlink"/>
          </w:rPr>
        </w:r>
      </w:hyperlink>
      <w:r/>
      <w:r/>
    </w:p>
    <w:p>
      <w:pPr>
        <w:pStyle w:val="FirstParagraph"/>
      </w:pPr>
      <w:hyperlink r:id="rId43">
        <w:r>
          <w:rPr>
            <w:rStyle w:val="Hyperlink"/>
          </w:rPr>
          <w:t>ჩამოტვირთეთ ეს დოკუმენტი PDF ფორმატში</w:t>
        </w:r>
      </w:hyperlink>
    </w:p>
    <w:p>
      <w:pPr>
        <w:pStyle w:val="BodyText"/>
      </w:pPr>
      <w:r>
        <w:t>დაკავშირებული სტანდარტი</w:t>
      </w:r>
    </w:p>
    <w:p>
      <w:pPr>
        <w:numPr>
          <w:ilvl w:val="0"/>
          <w:numId w:val="1012"/>
        </w:numPr>
        <w:pStyle w:val="Compact"/>
      </w:pPr>
      <w:hyperlink r:id="rId44">
        <w:r>
          <w:rPr>
            <w:rStyle w:val="Hyperlink"/>
          </w:rPr>
          <w:t>Standard 46: Hospital Disaster and Emergency Preparedness</w:t>
        </w:r>
      </w:hyperlink>
    </w:p>
    <w:bookmarkEnd w:id="45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7" Type="http://schemas.openxmlformats.org/officeDocument/2006/relationships/hyperlink" Target="/documents/hos-frm-014/" TargetMode="External"/><Relationship Id="rId38" Type="http://schemas.openxmlformats.org/officeDocument/2006/relationships/hyperlink" Target="/documents/hos-reg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46/" TargetMode="External"/><Relationship Id="rId43" Type="http://schemas.openxmlformats.org/officeDocument/2006/relationships/hyperlink" Target="https://france-asf.fr/wp-content/uploads/2026/10/hos-sop-016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_rels/footnotes.xml.rels><?xml version='1.0' encoding='UTF-8' standalone='yes'?>
<Relationships xmlns="http://schemas.openxmlformats.org/package/2006/relationships"><Relationship Id="rId37" Type="http://schemas.openxmlformats.org/officeDocument/2006/relationships/hyperlink" Target="/documents/hos-frm-014/" TargetMode="External"/><Relationship Id="rId38" Type="http://schemas.openxmlformats.org/officeDocument/2006/relationships/hyperlink" Target="/documents/hos-reg-004/" TargetMode="Externa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4" Type="http://schemas.openxmlformats.org/officeDocument/2006/relationships/hyperlink" Target="https://france-asf.fr/standards/standard-46/" TargetMode="External"/><Relationship Id="rId43" Type="http://schemas.openxmlformats.org/officeDocument/2006/relationships/hyperlink" Target="https://france-asf.fr/wp-content/uploads/2026/10/hos-sop-016-1.pdf" TargetMode="External"/><Relationship Id="rId42" Type="http://schemas.openxmlformats.org/officeDocument/2006/relationships/hyperlink" Target="https://www.who.int/news/item/02-05-2007-who-launches-nine-patient-safety-solu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HOS-SOP-016: Electronic system downtime</dc:title>
  <dc:creator/>
  <cp:keywords/>
  <dcterms:created xsi:type="dcterms:W3CDTF">2026-10-28T21:34:35Z</dcterms:created>
  <dcterms:modified xsi:type="dcterms:W3CDTF">2026-10-28T21:34:35Z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