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INC-POL-002:</w:t>
      </w:r>
      <w:r>
        <w:t xml:space="preserve"> </w:t>
      </w:r>
      <w:r>
        <w:t xml:space="preserve">Complaints</w:t>
      </w:r>
      <w:r>
        <w:t xml:space="preserve"> </w:t>
      </w:r>
      <w:r>
        <w:t xml:space="preserve">and</w:t>
      </w:r>
      <w:r>
        <w:t xml:space="preserve"> </w:t>
      </w:r>
      <w:r>
        <w:t xml:space="preserve">Feedback</w:t>
      </w:r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პოლიტიკა</w:t>
            </w:r>
          </w:p>
          <w:p>
            <w:pPr>
              <w:pStyle w:val="Compact"/>
              <w:jc w:val="left"/>
            </w:pPr>
            <w:r>
              <w:t xml:space="preserve">Complaints and Feedback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INC-POL-002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Standards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Standard 1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Policies</w:t>
        </w:r>
      </w:hyperlink>
    </w:p>
    <w:p>
      <w:pPr>
        <w:pStyle w:val="BodyText"/>
      </w:pPr>
      <w:r>
        <w:t>პოლიტიკა · INC-POL-002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, </w:t>
      </w:r>
      <w:r/>
      <w:hyperlink r:id="rId23">
        <w:r>
          <w:rPr>
            <w:rStyle w:val="Hyperlink"/>
          </w:rPr>
          <w:t xml:space="preserve">2A.6</w:t>
        </w:r>
      </w:hyperlink>
      <w:r/>
      <w:r/>
      <w:hyperlink r:id="rId24">
        <w:r>
          <w:rPr>
            <w:rStyle w:val="Hyperlink"/>
          </w:rPr>
          <w:t xml:space="preserve">2A.10</w:t>
        </w:r>
      </w:hyperlink>
    </w:p>
    <w:bookmarkStart w:id="25" w:name="purpose"/>
    <w:p>
      <w:pPr>
        <w:pStyle w:val="Heading2"/>
      </w:pPr>
      <w:r>
        <w:t>1. დანიშნულება</w:t>
      </w:r>
    </w:p>
    <w:p>
      <w:pPr>
        <w:pStyle w:val="FirstParagraph"/>
      </w:pPr>
      <w:r>
        <w:t>პაციენტების, ოჯახებისა და საზოგადოების საჩივრებისა და უკუკავშირის მიღება, მათზე რეაგირება და მათგან სწავლა [E-006, EC].</w:t>
      </w:r>
    </w:p>
    <w:bookmarkEnd w:id="25"/>
    <w:bookmarkStart w:id="26" w:name="scope"/>
    <w:p>
      <w:pPr>
        <w:pStyle w:val="Heading2"/>
      </w:pPr>
      <w:r>
        <w:t>2. სფერო</w:t>
      </w:r>
    </w:p>
    <w:p>
      <w:pPr>
        <w:pStyle w:val="FirstParagraph"/>
      </w:pPr>
      <w:r>
        <w:t>ყოველი საჩივარი და უკუკავშირი დაწესებულებაში მოვლის, თანამშრომლების, ობიექტებისა და სერვისების შესახებ.</w:t>
      </w:r>
    </w:p>
    <w:bookmarkEnd w:id="26"/>
    <w:bookmarkStart w:id="27" w:name="responsibilities"/>
    <w:p>
      <w:pPr>
        <w:pStyle w:val="Heading2"/>
      </w:pPr>
      <w:r>
        <w:t>3.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როლი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საჩივრებზე პასუხისმგებელი პირი</w:t>
            </w:r>
          </w:p>
        </w:tc>
        <w:tc>
          <w:tcPr/>
          <w:p>
            <w:pPr>
              <w:pStyle w:val="Compact"/>
              <w:jc w:val="left"/>
            </w:pPr>
            <w:r>
              <w:t>აფიქსირებს ყოველ საჩივარს, ადასტურებს მის მიღებას და აკონტროლებს რეაგირებას.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კლინიკური დირექტორი</w:t>
            </w:r>
          </w:p>
        </w:tc>
        <w:tc>
          <w:tcPr/>
          <w:p>
            <w:pPr>
              <w:pStyle w:val="Compact"/>
              <w:jc w:val="left"/>
            </w:pPr>
            <w:r>
              <w:t>განიხილავს კლინიკურ საჩივრებს.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7"/>
    <w:bookmarkStart w:id="28" w:name="procedure"/>
    <w:p>
      <w:pPr>
        <w:pStyle w:val="Heading2"/>
      </w:pPr>
      <w:r>
        <w:t>4. პროცედურა</w:t>
      </w:r>
    </w:p>
    <w:p>
      <w:pPr>
        <w:numPr>
          <w:ilvl w:val="0"/>
          <w:numId w:val="1001"/>
        </w:numPr>
        <w:pStyle w:val="Compact"/>
      </w:pPr>
      <w:r>
        <w:t>საჩივრები მიიღება პირადად, ტელეფონით, წერილობით, ონლაინ ან წარმომადგენლის მეშვეობით [E-006].</w:t>
      </w:r>
    </w:p>
    <w:p>
      <w:pPr>
        <w:numPr>
          <w:ilvl w:val="0"/>
          <w:numId w:val="1001"/>
        </w:numPr>
        <w:pStyle w:val="Compact"/>
      </w:pPr>
      <w:r>
        <w:t>დაადასტურეთ მიღება 5 სამუშაო დღის ფარგლებში და მიუთითეთ მოსალოდნელი რეაგირების თარიღი [E-006].</w:t>
      </w:r>
    </w:p>
    <w:p>
      <w:pPr>
        <w:numPr>
          <w:ilvl w:val="0"/>
          <w:numId w:val="1001"/>
        </w:numPr>
        <w:pStyle w:val="Compact"/>
      </w:pPr>
      <w:r>
        <w:t>მიანიჭეთ პირს, რომელსაც ამ საკითხში ინტერესთა კონფლიქტი არ აქვს [E-006].</w:t>
      </w:r>
    </w:p>
    <w:p>
      <w:pPr>
        <w:numPr>
          <w:ilvl w:val="0"/>
          <w:numId w:val="1001"/>
        </w:numPr>
        <w:pStyle w:val="Compact"/>
      </w:pPr>
      <w:r>
        <w:t>მიეცით წერილობითი პასუხი 30 დღის ფარგლებში, ან აცნობეთ საჩივრის ავტორს, რატომ არის მეტი დრო საჭირო [E-006].</w:t>
      </w:r>
    </w:p>
    <w:p>
      <w:pPr>
        <w:numPr>
          <w:ilvl w:val="0"/>
          <w:numId w:val="1001"/>
        </w:numPr>
        <w:pStyle w:val="Compact"/>
      </w:pPr>
      <w:r>
        <w:t>დააფიქსირეთ საჩივარი, პასუხი და გამოცდილება საჩივრების ჟურნალში [EC].</w:t>
      </w:r>
    </w:p>
    <w:p>
      <w:pPr>
        <w:numPr>
          <w:ilvl w:val="0"/>
          <w:numId w:val="1001"/>
        </w:numPr>
        <w:pStyle w:val="Compact"/>
      </w:pPr>
      <w:r>
        <w:t>აცნობეთ საჩივრის ავტორს, როგორ შეუძლია მთავარ აღმასრულებელთან გასაჩივრება [E-006].</w:t>
      </w:r>
    </w:p>
    <w:bookmarkEnd w:id="28"/>
    <w:bookmarkStart w:id="29" w:name="records"/>
    <w:p>
      <w:pPr>
        <w:pStyle w:val="Heading2"/>
      </w:pPr>
      <w:r>
        <w:t>5. ჩანაწერები</w:t>
      </w:r>
    </w:p>
    <w:p>
      <w:pPr>
        <w:pStyle w:val="FirstParagraph"/>
      </w:pPr>
      <w:r>
        <w:t>საჩივრის ფორმა, საჩივრების ჟურნალი, პასუხის წერილი.</w:t>
      </w:r>
    </w:p>
    <w:bookmarkEnd w:id="29"/>
    <w:bookmarkStart w:id="30" w:name="evidence"/>
    <w:p>
      <w:pPr>
        <w:pStyle w:val="Heading2"/>
      </w:pPr>
      <w:r>
        <w:t>6.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>ASF Expert Committee consensus. შესამოწმებელია ადგილობრივი სამართლებრივი ვადები.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0"/>
    <w:bookmarkStart w:id="31" w:name="change-history"/>
    <w:p>
      <w:pPr>
        <w:pStyle w:val="Heading2"/>
      </w:pPr>
      <w:r>
        <w:t>7.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დამტკიცებული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1"/>
    <w:bookmarkStart w:id="33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02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02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p>
      <w:pPr>
        <w:pStyle w:val="FirstParagraph"/>
      </w:pPr>
      <w:hyperlink r:id="rId32">
        <w:r>
          <w:rPr>
            <w:rStyle w:val="Hyperlink"/>
          </w:rPr>
          <w:t xml:space="preserve">Download this document as PDF</w:t>
        </w:r>
      </w:hyperlink>
    </w:p>
    <w:bookmarkEnd w:id="33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resources/policie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1/" TargetMode="External"/><Relationship Id="rId24" Type="http://schemas.openxmlformats.org/officeDocument/2006/relationships/hyperlink" Target="/standards/standard-1/#c2a-10" TargetMode="External"/><Relationship Id="rId23" Type="http://schemas.openxmlformats.org/officeDocument/2006/relationships/hyperlink" Target="/standards/standard-1/#c2a-6" TargetMode="External"/><Relationship Id="rId32" Type="http://schemas.openxmlformats.org/officeDocument/2006/relationships/hyperlink" Target="https://france-asf.fr/wp-content/uploads/2026/10/inc-pol-002-1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resources/policie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1/" TargetMode="External"/><Relationship Id="rId24" Type="http://schemas.openxmlformats.org/officeDocument/2006/relationships/hyperlink" Target="/standards/standard-1/#c2a-10" TargetMode="External"/><Relationship Id="rId23" Type="http://schemas.openxmlformats.org/officeDocument/2006/relationships/hyperlink" Target="/standards/standard-1/#c2a-6" TargetMode="External"/><Relationship Id="rId32" Type="http://schemas.openxmlformats.org/officeDocument/2006/relationships/hyperlink" Target="https://france-asf.fr/wp-content/uploads/2026/10/inc-pol-002-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INC-POL-002: Complaints and Feedback</dc:title>
  <dc:creator/>
  <cp:keywords/>
  <dcterms:created xsi:type="dcterms:W3CDTF">2026-10-28T21:34:17Z</dcterms:created>
  <dcterms:modified xsi:type="dcterms:W3CDTF">2026-10-28T21:34:17Z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