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>INC-SOP-001: მძიმე ინციდენტების ძირეული მიზეზების ანალიზი</w:t>
      </w:r>
      <w:r/>
      <w:r/>
      <w:r/>
      <w:r/>
      <w:r/>
      <w:r/>
      <w:r/>
      <w:r/>
      <w:r/>
      <w:r/>
      <w:r/>
      <w:r/>
    </w:p>
    <w:tbl>
      <w:tblPr>
        <w:tblStyle w:val="Table"/>
        <w:tblW w:type="pct" w:w="5000"/>
        <w:tblLook w:firstRow="0" w:lastRow="0" w:firstColumn="0" w:lastColumn="0" w:noHBand="0" w:noVBand="0" w:val="0000"/>
        <w:jc w:val="start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>ორგანიზაციის სახელი</w:t>
            </w:r>
          </w:p>
          <w:p>
            <w:pPr>
              <w:pStyle w:val="Compact"/>
              <w:jc w:val="left"/>
            </w:pPr>
            <w:r>
              <w:t>ობიექტი ან განყოფილება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>სტანდარტული საოპერაციო პროცედურა</w:t>
            </w:r>
          </w:p>
          <w:p>
            <w:pPr>
              <w:pStyle w:val="Compact"/>
              <w:jc w:val="left"/>
            </w:pPr>
            <w:r>
              <w:t>მძიმე ინციდენტების ძირეული მიზეზების ანალიზი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დოკუმენტის ID</w:t>
            </w:r>
          </w:p>
        </w:tc>
        <w:tc>
          <w:tcPr/>
          <w:p>
            <w:pPr>
              <w:pStyle w:val="Compact"/>
              <w:jc w:val="left"/>
            </w:pPr>
            <w:r>
              <w:t>INC-SOP-001</w:t>
            </w:r>
          </w:p>
        </w:tc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1.0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სტატუსი</w:t>
            </w:r>
          </w:p>
        </w:tc>
        <w:tc>
          <w:tcPr/>
          <w:p>
            <w:pPr>
              <w:pStyle w:val="Compact"/>
              <w:jc w:val="left"/>
            </w:pPr>
            <w:r>
              <w:t>ცარიელი ფორმა, მოსარგებად</w:t>
            </w:r>
          </w:p>
        </w:tc>
        <w:tc>
          <w:tcPr/>
          <w:p>
            <w:pPr>
              <w:pStyle w:val="Compact"/>
              <w:jc w:val="left"/>
            </w:pPr>
            <w:r>
              <w:t>გამოშვების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გადახედვის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ანაცვლებს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დაამტკიცა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ხელმოწერა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 </w:t>
            </w:r>
          </w:p>
        </w:tc>
      </w:tr>
    </w:tbl>
    <w:p>
      <w:pPr>
        <w:pStyle w:val="BodyText"/>
      </w:pPr>
      <w:hyperlink r:id="rId20">
        <w:r>
          <w:rPr>
            <w:rStyle w:val="Hyperlink"/>
          </w:rPr>
          <w:t xml:space="preserve">Standards</w:t>
        </w:r>
      </w:hyperlink>
      <w:r>
        <w:t xml:space="preserve"> ›  › </w:t>
      </w:r>
      <w:r/>
      <w:r/>
      <w:hyperlink r:id="rId21">
        <w:r>
          <w:rPr>
            <w:rStyle w:val="Hyperlink"/>
          </w:rPr>
          <w:t xml:space="preserve">Standard 2A</w:t>
        </w:r>
      </w:hyperlink>
      <w:r/>
      <w:r/>
      <w:r/>
      <w:hyperlink r:id="rId22">
        <w:r>
          <w:rPr>
            <w:rStyle w:val="Hyperlink"/>
          </w:rPr>
          <w:t xml:space="preserve">Standard operating procedures (SOPs)</w:t>
        </w:r>
      </w:hyperlink>
    </w:p>
    <w:p>
      <w:pPr>
        <w:pStyle w:val="BodyText"/>
      </w:pPr>
      <w:r>
        <w:t>სტანდარტული საოპერაციო პროცედურა (SOP) · INC-SOP-001 · ვერსია 1.1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 </w:t>
      </w:r>
      <w:r/>
      <w:hyperlink r:id="rId23">
        <w:r>
          <w:rPr>
            <w:rStyle w:val="Hyperlink"/>
          </w:rPr>
          <w:t xml:space="preserve">2A.6</w:t>
        </w:r>
      </w:hyperlink>
    </w:p>
    <w:p>
      <w:pPr>
        <w:pStyle w:val="BodyText"/>
      </w:pPr>
      <w:r>
        <w:t>მოკლედ</w:t>
      </w:r>
    </w:p>
    <w:p>
      <w:pPr>
        <w:numPr>
          <w:ilvl w:val="0"/>
          <w:numId w:val="1001"/>
        </w:numPr>
        <w:pStyle w:val="Compact"/>
      </w:pPr>
      <w:r>
        <w:t>კლასიფიკაცია მოახდინეთ მძიმედ (სიკვდილი, მძიმე ზიანი ან თითქმის ინციდენტი მაღალი პოტენციალით) 2 სამუშაო დღეში.</w:t>
      </w:r>
    </w:p>
    <w:p>
      <w:pPr>
        <w:numPr>
          <w:ilvl w:val="0"/>
          <w:numId w:val="1001"/>
        </w:numPr>
        <w:pStyle w:val="Compact"/>
      </w:pPr>
      <w:r>
        <w:t>ჩამოაყალიბეთ მიმოხილვის ჯგუფი, რომელშიც არცერთი პირდაპირ ჩართული არ იქნება.</w:t>
      </w:r>
    </w:p>
    <w:p>
      <w:pPr>
        <w:numPr>
          <w:ilvl w:val="0"/>
          <w:numId w:val="1001"/>
        </w:numPr>
        <w:pStyle w:val="Compact"/>
      </w:pPr>
      <w:r>
        <w:t>მოძებნეთ მიზეზები და არა დამნაშავე: გამოიყენეთ ძირეული მიზეზის მეთოდი.</w:t>
      </w:r>
    </w:p>
    <w:p>
      <w:pPr>
        <w:numPr>
          <w:ilvl w:val="0"/>
          <w:numId w:val="1001"/>
        </w:numPr>
        <w:pStyle w:val="Compact"/>
      </w:pPr>
      <w:r>
        <w:t>დაწერეთ ქმედებები პასუხისმგებლებითა და თარიღებით. აკონტროლეთ დახურვამდე.</w:t>
      </w:r>
    </w:p>
    <w:p>
      <w:pPr>
        <w:numPr>
          <w:ilvl w:val="0"/>
          <w:numId w:val="1001"/>
        </w:numPr>
        <w:pStyle w:val="Compact"/>
      </w:pPr>
      <w:r>
        <w:t>გაუზიარეთ დასკვნები თანამშრომლებს და, შესაბამისად, პაციენტს ან ოჯახს.</w:t>
      </w:r>
    </w:p>
    <w:p>
      <w:pPr>
        <w:numPr>
          <w:ilvl w:val="0"/>
          <w:numId w:val="1001"/>
        </w:numPr>
        <w:pStyle w:val="Compact"/>
      </w:pPr>
      <w:r>
        <w:t>დაუყოვნებლივ შეაჩერეთ და მიიღეთ დახმარება, თუ: მძიმე ინციდენტი დადგენილ ვადაში არ არის განხილული, ან მიმოხილვა პირს ადანაშაულებს სისტემის შესწავლის გარეშე.</w:t>
      </w:r>
    </w:p>
    <w:bookmarkStart w:id="24" w:name="purpose"/>
    <w:p>
      <w:pPr>
        <w:pStyle w:val="Heading2"/>
      </w:pPr>
      <w:r>
        <w:t>1. მიზანი</w:t>
      </w:r>
    </w:p>
    <w:p>
      <w:pPr>
        <w:pStyle w:val="FirstParagraph"/>
      </w:pPr>
      <w:r>
        <w:t>იმისთვის, რომ გაირკვეს, რატომ მოხდა მძიმე ინციდენტი, სისტემა შეიცვალოს, რათა ის აღარ განმეორდეს, და ცვლილება დასრულებამდე ადევნოთ თვალი [EC].</w:t>
      </w:r>
    </w:p>
    <w:bookmarkEnd w:id="24"/>
    <w:bookmarkStart w:id="25" w:name="scope"/>
    <w:p>
      <w:pPr>
        <w:pStyle w:val="Heading2"/>
      </w:pPr>
      <w:r>
        <w:t>2. სფერო</w:t>
      </w:r>
    </w:p>
    <w:tbl>
      <w:tblPr>
        <w:tblStyle w:val="Table"/>
        <w:tblW w:type="auto" w:w="0"/>
        <w:tblLook w:firstRow="0" w:lastRow="0" w:firstColumn="0" w:lastColumn="0" w:noHBand="0" w:noVBand="0" w:val="0000"/>
        <w:jc w:val="start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>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>ყველა მძიმე ინციდენტი, მათ შორის გარდაცვალება, მძიმე ზიანი და მაღალი პოტენციალის თითქმის ინციდენტები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ადგილები</w:t>
            </w:r>
          </w:p>
        </w:tc>
        <w:tc>
          <w:tcPr/>
          <w:p>
            <w:pPr>
              <w:pStyle w:val="Compact"/>
              <w:jc w:val="left"/>
            </w:pPr>
            <w:r>
              <w:t>დაწესებულების ყველა მომსახურება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როდის</w:t>
            </w:r>
          </w:p>
        </w:tc>
        <w:tc>
          <w:tcPr/>
          <w:p>
            <w:pPr>
              <w:pStyle w:val="Compact"/>
              <w:jc w:val="left"/>
            </w:pPr>
            <w:r>
              <w:t>კლასიფიკაციიდან 2 სამუშაო დღეში; მიმოხილვა დასრულებული 45 დღეში (EC)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არ 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>მცირე ინციდენტები, რომლებიც მუშავდება ინციდენტების პოლიტიკით (INC-POL-001)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5"/>
    <w:bookmarkStart w:id="26" w:name="definitions"/>
    <w:p>
      <w:pPr>
        <w:pStyle w:val="Heading2"/>
      </w:pPr>
      <w:r>
        <w:t>3. განმარტებები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ტერმინი</w:t>
            </w:r>
          </w:p>
        </w:tc>
        <w:tc>
          <w:tcPr/>
          <w:p>
            <w:pPr>
              <w:pStyle w:val="Compact"/>
              <w:jc w:val="left"/>
            </w:pPr>
            <w:r>
              <w:t>მნიშვნელობა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სერიოზული ინციდენტი</w:t>
            </w:r>
          </w:p>
        </w:tc>
        <w:tc>
          <w:tcPr/>
          <w:p>
            <w:pPr>
              <w:pStyle w:val="Compact"/>
              <w:jc w:val="left"/>
            </w:pPr>
            <w:r>
              <w:t>მოვლენა, რომელმაც მძიმე ზიანი ან სიკვდილი გამოიწვია ან შეიძლებოდა გამოეწვია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ძირეული მიზეზი</w:t>
            </w:r>
          </w:p>
        </w:tc>
        <w:tc>
          <w:tcPr/>
          <w:p>
            <w:pPr>
              <w:pStyle w:val="Compact"/>
              <w:jc w:val="left"/>
            </w:pPr>
            <w:r>
              <w:t>ძირითადი სისტემური ფაქტორი, რომლის გასწორებამაც განმეორებას თავიდან აიცილებს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ქმედებების ტრეკერი</w:t>
            </w:r>
          </w:p>
        </w:tc>
        <w:tc>
          <w:tcPr/>
          <w:p>
            <w:pPr>
              <w:pStyle w:val="Compact"/>
              <w:jc w:val="left"/>
            </w:pPr>
            <w:r>
              <w:t>ყოველი ქმედების ჟურნალი, პასუხისმგებელი, ვადა და სტატუსი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6"/>
    <w:bookmarkStart w:id="27" w:name="background"/>
    <w:p>
      <w:pPr>
        <w:pStyle w:val="Heading2"/>
      </w:pPr>
      <w:r>
        <w:t>4. საფუძვლები</w:t>
      </w:r>
    </w:p>
    <w:p>
      <w:pPr>
        <w:pStyle w:val="FirstParagraph"/>
      </w:pPr>
      <w:r>
        <w:t>მოვლენის მოკლე აღწერა არ ხსნის, რატომ მოხდა. ძირეული მიზეზების ანალიზი სისტემებს, პროცესებს, აღჭურვილობას, პერსონალსა და კომუნიკაციას უყურებს მიზეზების საპოვნელად. ეს კრიტერიუმ 2A.6-ის მოთხოვნაა.</w:t>
      </w:r>
    </w:p>
    <w:bookmarkEnd w:id="27"/>
    <w:bookmarkStart w:id="28" w:name="responsibilities"/>
    <w:p>
      <w:pPr>
        <w:pStyle w:val="Heading2"/>
      </w:pPr>
      <w:r>
        <w:t>5. პასუხისმგებლობები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როლი</w:t>
            </w:r>
          </w:p>
        </w:tc>
        <w:tc>
          <w:tcPr/>
          <w:p>
            <w:pPr>
              <w:pStyle w:val="Compact"/>
              <w:jc w:val="left"/>
            </w:pPr>
            <w:r>
              <w:t>პასუხისმგებლობა</w:t>
            </w:r>
          </w:p>
        </w:tc>
        <w:tc>
          <w:tcPr/>
          <w:p>
            <w:pPr>
              <w:pStyle w:val="Compact"/>
              <w:jc w:val="left"/>
            </w:pPr>
            <w:r>
              <w:t>კომპეტენცია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ხარისხის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>მიმოხილვას ხელმძღვანელობს; ინახავს ტრეკერს; აცნობებს მმართველ ორგანოს</w:t>
            </w:r>
          </w:p>
        </w:tc>
        <w:tc>
          <w:tcPr/>
          <w:p>
            <w:pPr>
              <w:pStyle w:val="Compact"/>
              <w:jc w:val="left"/>
            </w:pPr>
            <w:r>
              <w:t>RCA სწავლება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მიმოხილვის ჯგუფი</w:t>
            </w:r>
          </w:p>
        </w:tc>
        <w:tc>
          <w:tcPr/>
          <w:p>
            <w:pPr>
              <w:pStyle w:val="Compact"/>
              <w:jc w:val="left"/>
            </w:pPr>
            <w:r>
              <w:t>აგროვებს მტკიცებულებებს, ატარებს გასაუბრებებს, პოულობს მიზეზებს, წერს ქმედებებს</w:t>
            </w:r>
          </w:p>
        </w:tc>
        <w:tc>
          <w:tcPr/>
          <w:p>
            <w:pPr>
              <w:pStyle w:val="Compact"/>
              <w:jc w:val="left"/>
            </w:pPr>
            <w:r>
              <w:t>RCA სწავლება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აღმასრულებელი დირექტორი</w:t>
            </w:r>
          </w:p>
        </w:tc>
        <w:tc>
          <w:tcPr/>
          <w:p>
            <w:pPr>
              <w:pStyle w:val="Compact"/>
              <w:jc w:val="left"/>
            </w:pPr>
            <w:r>
              <w:t>ახარისხებს მძიმე ინციდენტებს; ამტკიცებს ანგარიშს</w:t>
            </w:r>
          </w:p>
        </w:tc>
        <w:tc>
          <w:tcPr/>
          <w:p>
            <w:pPr>
              <w:pStyle w:val="Compact"/>
              <w:jc w:val="left"/>
            </w:pPr>
            <w:r>
              <w:t>აღმასრულებელი ხელმძღვანელობა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ქმედებების მფლობელები</w:t>
            </w:r>
          </w:p>
        </w:tc>
        <w:tc>
          <w:tcPr/>
          <w:p>
            <w:pPr>
              <w:pStyle w:val="Compact"/>
              <w:jc w:val="left"/>
            </w:pPr>
            <w:r>
              <w:t>დაასრულეთ ქმედებები ვადაში; აცნობეთ პროგრესი</w:t>
            </w:r>
          </w:p>
        </w:tc>
        <w:tc>
          <w:tcPr/>
          <w:p>
            <w:pPr>
              <w:pStyle w:val="Compact"/>
              <w:jc w:val="left"/>
            </w:pPr>
            <w:r>
              <w:t>კომპეტენცია თავიანთი ქმედებისთვის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29" w:name="materials-and-equipment"/>
    <w:p>
      <w:pPr>
        <w:pStyle w:val="Heading2"/>
      </w:pPr>
      <w:r>
        <w:t>6. მასალები და აღჭურვილობა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ერთეული</w:t>
            </w:r>
          </w:p>
        </w:tc>
        <w:tc>
          <w:tcPr/>
          <w:p>
            <w:pPr>
              <w:pStyle w:val="Compact"/>
              <w:jc w:val="left"/>
            </w:pPr>
            <w:r>
              <w:t>მოთხოვნა</w:t>
            </w:r>
          </w:p>
        </w:tc>
        <w:tc>
          <w:tcPr/>
          <w:p>
            <w:pPr>
              <w:pStyle w:val="Compact"/>
              <w:jc w:val="left"/>
            </w:pPr>
            <w:r>
              <w:t>პირობა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RCA ჩანაწერი (INC-FRM-001)</w:t>
            </w:r>
          </w:p>
        </w:tc>
        <w:tc>
          <w:tcPr/>
          <w:p>
            <w:pPr>
              <w:pStyle w:val="Compact"/>
              <w:jc w:val="left"/>
            </w:pPr>
            <w:r>
              <w:t>მიმდინარე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დასრულებულია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ქმედებების ტრეკერი (INC-REG-001)</w:t>
            </w:r>
          </w:p>
        </w:tc>
        <w:tc>
          <w:tcPr/>
          <w:p>
            <w:pPr>
              <w:pStyle w:val="Compact"/>
              <w:jc w:val="left"/>
            </w:pPr>
            <w:r>
              <w:t>მიმდინარე</w:t>
            </w:r>
          </w:p>
        </w:tc>
        <w:tc>
          <w:tcPr/>
          <w:p>
            <w:pPr>
              <w:pStyle w:val="Compact"/>
              <w:jc w:val="left"/>
            </w:pPr>
            <w:r>
              <w:t>ყოველთვიურად განახლდება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9"/>
    <w:bookmarkStart w:id="30" w:name="safety"/>
    <w:p>
      <w:pPr>
        <w:pStyle w:val="Heading2"/>
      </w:pPr>
      <w:r>
        <w:t>7. უსაფრთხოება</w:t>
      </w:r>
    </w:p>
    <w:p>
      <w:pPr>
        <w:numPr>
          <w:ilvl w:val="0"/>
          <w:numId w:val="1002"/>
        </w:numPr>
        <w:pStyle w:val="Compact"/>
      </w:pPr>
      <w:r>
        <w:t>დაიცავით თანამშრომლებისა და პაციენტების კონფიდენციალურობა მიმოხილვაში. შედეგები გაუზიარეთ ანონიმური ფორმით.</w:t>
      </w:r>
    </w:p>
    <w:p>
      <w:pPr>
        <w:numPr>
          <w:ilvl w:val="0"/>
          <w:numId w:val="1002"/>
        </w:numPr>
        <w:pStyle w:val="Compact"/>
      </w:pPr>
      <w:r>
        <w:t>ჩართულ თანამშრომლებს მხარი უნდა დაუჭიროთ და არ დაისაჯონ გულწრფელი ანგარიშგებისთვის.</w:t>
      </w:r>
    </w:p>
    <w:bookmarkEnd w:id="30"/>
    <w:bookmarkStart w:id="31" w:name="before-you-start"/>
    <w:p>
      <w:pPr>
        <w:pStyle w:val="Heading2"/>
      </w:pPr>
      <w:r>
        <w:t>8. დაწყებამდე</w:t>
      </w:r>
    </w:p>
    <w:p>
      <w:pPr>
        <w:numPr>
          <w:ilvl w:val="0"/>
          <w:numId w:val="1003"/>
        </w:numPr>
        <w:pStyle w:val="Compact"/>
      </w:pPr>
      <w:r>
        <w:t>შეინახეთ მოვლენასთან დაკავშირებული ჩანაწერები, აღჭურვილობა და ჟურნალები.</w:t>
      </w:r>
    </w:p>
    <w:p>
      <w:pPr>
        <w:numPr>
          <w:ilvl w:val="0"/>
          <w:numId w:val="1003"/>
        </w:numPr>
        <w:pStyle w:val="Compact"/>
      </w:pPr>
      <w:r>
        <w:t>აცნობეთ პაციენტს ან ოჯახს მიმოხილვის შესახებ (იხილეთ გამჟღავნების პროცედურა).</w:t>
      </w:r>
    </w:p>
    <w:bookmarkEnd w:id="31"/>
    <w:bookmarkStart w:id="32" w:name="procedure"/>
    <w:p>
      <w:pPr>
        <w:pStyle w:val="Heading2"/>
      </w:pPr>
      <w:r>
        <w:t>9. პროცედურა</w:t>
      </w:r>
    </w:p>
    <w:p>
      <w:pPr>
        <w:pStyle w:val="FirstParagraph"/>
      </w:pPr>
      <w:r>
        <w:t>ეტაპი 1. დაახარისხეთ და დარეგისტრირეთ ინციდენტი.</w:t>
      </w:r>
    </w:p>
    <w:p>
      <w:pPr>
        <w:numPr>
          <w:ilvl w:val="0"/>
          <w:numId w:val="1004"/>
        </w:numPr>
        <w:pStyle w:val="Compact"/>
      </w:pPr>
      <w:r>
        <w:t>2 სამუშაო დღეში აღმასრულებელი დირექტორი ან მისი წარმომადგენელი მოვლენას მძიმედ ან არამძიმედ აკლასიფიცირებს.</w:t>
      </w:r>
    </w:p>
    <w:p>
      <w:pPr>
        <w:numPr>
          <w:ilvl w:val="0"/>
          <w:numId w:val="1004"/>
        </w:numPr>
        <w:pStyle w:val="Compact"/>
      </w:pPr>
      <w:r>
        <w:t>შეიტანეთ ინციდენტების ჟურნალში თარიღით, კლასიფიკაციითა და მიმომხილველით.</w:t>
      </w:r>
    </w:p>
    <w:p>
      <w:pPr>
        <w:pStyle w:val="FirstParagraph"/>
      </w:pPr>
      <w:r>
        <w:rPr>
          <w:bCs/>
          <w:b/>
        </w:rPr>
        <w:t>მთავარი დებულება: კლასიფიკაცია განსაზღვრავს მიმოხილვის დონეს. გააკეთეთ იგი ადრე.</w:t>
      </w:r>
      <w:r/>
      <w:r/>
    </w:p>
    <w:p>
      <w:pPr>
        <w:pStyle w:val="BodyText"/>
      </w:pPr>
      <w:r>
        <w:t>ეტაპი 2. ჩამოაყალიბეთ მიმოხილვის ჯგუფი.</w:t>
      </w:r>
    </w:p>
    <w:p>
      <w:pPr>
        <w:numPr>
          <w:ilvl w:val="0"/>
          <w:numId w:val="1005"/>
        </w:numPr>
        <w:pStyle w:val="Compact"/>
      </w:pPr>
      <w:r>
        <w:t>ჩართეთ კლინიცისტი, სხვა მომსახურების მენეჯერი, ხარისხის ხელმძღვანელი და, შესაძლებლობისამებრ, პაციენტის წარმომადგენელი.</w:t>
      </w:r>
    </w:p>
    <w:p>
      <w:pPr>
        <w:numPr>
          <w:ilvl w:val="0"/>
          <w:numId w:val="1005"/>
        </w:numPr>
        <w:pStyle w:val="Compact"/>
      </w:pPr>
      <w:r>
        <w:t>პირდაპირ ჩართულმა პირმა მიმოხილვა არ უნდა წარმართოს.</w:t>
      </w:r>
    </w:p>
    <w:p>
      <w:pPr>
        <w:pStyle w:val="FirstParagraph"/>
      </w:pPr>
      <w:r>
        <w:rPr>
          <w:bCs/>
          <w:b/>
        </w:rPr>
        <w:t>მთავარი დებულება: დამოუკიდებლობა არის ის, რაც დასკვნებს სანდოს ხდის.</w:t>
      </w:r>
      <w:r/>
      <w:r/>
    </w:p>
    <w:p>
      <w:pPr>
        <w:pStyle w:val="BodyText"/>
      </w:pPr>
      <w:r>
        <w:t>ეტაპი 3. შეაგროვეთ ფაქტები.</w:t>
      </w:r>
    </w:p>
    <w:p>
      <w:pPr>
        <w:numPr>
          <w:ilvl w:val="0"/>
          <w:numId w:val="1006"/>
        </w:numPr>
        <w:pStyle w:val="Compact"/>
      </w:pPr>
      <w:r>
        <w:t>შეაგროვეთ ჩანაწერები, ქრონოლოგია, აღჭურვილობის ჟურნალები, გრაფიკები და კომუნიკაციები.</w:t>
      </w:r>
    </w:p>
    <w:p>
      <w:pPr>
        <w:numPr>
          <w:ilvl w:val="0"/>
          <w:numId w:val="1006"/>
        </w:numPr>
        <w:pStyle w:val="Compact"/>
      </w:pPr>
      <w:r>
        <w:t>გაესაუბრეთ ჩართულ პირებს, თითო-თითო, ნეიტრალურ გარემოში, და აღრიცხეთ, რას ამბობს თითოეული.</w:t>
      </w:r>
    </w:p>
    <w:p>
      <w:pPr>
        <w:numPr>
          <w:ilvl w:val="0"/>
          <w:numId w:val="1006"/>
        </w:numPr>
        <w:pStyle w:val="Compact"/>
      </w:pPr>
      <w:r>
        <w:t>შეადგინეთ მოვლენების ქრონოლოგია დროით.</w:t>
      </w:r>
    </w:p>
    <w:p>
      <w:pPr>
        <w:pStyle w:val="FirstParagraph"/>
      </w:pPr>
      <w:r>
        <w:rPr>
          <w:bCs/>
          <w:b/>
        </w:rPr>
        <w:t>მთავარი დებულება: ქრონოლოგია აჩვენებს, რა მოხდა თანმიმდევრობით. მასში არსებული ხარვეზები კითხვებია, რომლებზეც პასუხი უნდა გაიცეს.</w:t>
      </w:r>
      <w:r/>
      <w:r/>
    </w:p>
    <w:p>
      <w:pPr>
        <w:pStyle w:val="BodyText"/>
      </w:pPr>
      <w:r>
        <w:t>ეტაპი 4. მოძებნეთ ძირეული მიზეზები.</w:t>
      </w:r>
    </w:p>
    <w:p>
      <w:pPr>
        <w:numPr>
          <w:ilvl w:val="0"/>
          <w:numId w:val="1007"/>
        </w:numPr>
        <w:pStyle w:val="Compact"/>
      </w:pPr>
      <w:r>
        <w:t>გამოიყენეთ „ხუთი რატომ“ ან თევზის ძვლის დიაგრამა, რომ იმისგან, რაც მოხდა, გადახვიდეთ იმაზე, თუ რატომ მოხდა.</w:t>
      </w:r>
    </w:p>
    <w:p>
      <w:pPr>
        <w:numPr>
          <w:ilvl w:val="0"/>
          <w:numId w:val="1007"/>
        </w:numPr>
        <w:pStyle w:val="Compact"/>
      </w:pPr>
      <w:r>
        <w:t>ჰკითხეთ, დაუშვა თუ არა სისტემამ შეცდომა, გახადა თუ არა ის სავარაუდო, ან ვერ აღმოაჩინა.</w:t>
      </w:r>
    </w:p>
    <w:p>
      <w:pPr>
        <w:numPr>
          <w:ilvl w:val="0"/>
          <w:numId w:val="1007"/>
        </w:numPr>
        <w:pStyle w:val="Compact"/>
      </w:pPr>
      <w:r>
        <w:t>შეთანხმდით ძირეულ მიზეზებზე, როგორც გუნდი, და აღრიცხეთ INC-FRM-001-ზე.</w:t>
      </w:r>
    </w:p>
    <w:p>
      <w:pPr>
        <w:pStyle w:val="FirstParagraph"/>
      </w:pPr>
      <w:r>
        <w:rPr>
          <w:bCs/>
          <w:b/>
        </w:rPr>
        <w:t>მთავარი დებულება: შეჩერდით, როცა მიაღწევთ სისტემურ მიზეზს. პირის დადანაშაულება ანალიზის დასასრულია და არა გამოსწორების დასაწყისი.</w:t>
      </w:r>
      <w:r/>
      <w:r/>
    </w:p>
    <w:p>
      <w:pPr>
        <w:pStyle w:val="BodyText"/>
      </w:pPr>
      <w:r>
        <w:t>ეტაპი 5. დაწერეთ ქმედებები.</w:t>
      </w:r>
    </w:p>
    <w:p>
      <w:pPr>
        <w:numPr>
          <w:ilvl w:val="0"/>
          <w:numId w:val="1008"/>
        </w:numPr>
        <w:pStyle w:val="Compact"/>
      </w:pPr>
      <w:r>
        <w:t>თითოეული ძირეული მიზეზისთვის დაწერეთ ერთი ან მეტი ქმედება, რომელიც სისტემას ცვლის: საკონტროლო სია, გადაპროექტება, სწავლება შემოწმებით, აღჭურვილობის ან პერსონალის ცვლილება.</w:t>
      </w:r>
    </w:p>
    <w:p>
      <w:pPr>
        <w:numPr>
          <w:ilvl w:val="0"/>
          <w:numId w:val="1008"/>
        </w:numPr>
        <w:pStyle w:val="Compact"/>
      </w:pPr>
      <w:r>
        <w:t>თითოეულ ქმედებას მიანიჭეთ პასუხისმგებელი პირი, ვადა და წარმატების საზომი.</w:t>
      </w:r>
    </w:p>
    <w:p>
      <w:pPr>
        <w:numPr>
          <w:ilvl w:val="0"/>
          <w:numId w:val="1008"/>
        </w:numPr>
        <w:pStyle w:val="Compact"/>
      </w:pPr>
      <w:r>
        <w:t>დაალაგეთ ქმედებები სიძლიერის მიხედვით. უპირატესობა მიანიჭეთ ცვლილებებს, რომლებიც საშიშროებას აცილებს, გაფრთხილებასა და სწავლებაზე მეტად (EC).</w:t>
      </w:r>
    </w:p>
    <w:p>
      <w:pPr>
        <w:pStyle w:val="FirstParagraph"/>
      </w:pPr>
      <w:r>
        <w:rPr>
          <w:bCs/>
          <w:b/>
        </w:rPr>
        <w:t>მთავარი დებულება: მხოლოდ სწავლება ყველაზე სუსტი ქმედებაა. უსაფრთხო არჩევანი გახადეთ ადვილი არჩევანი.</w:t>
      </w:r>
      <w:r/>
      <w:r/>
    </w:p>
    <w:p>
      <w:pPr>
        <w:pStyle w:val="BodyText"/>
      </w:pPr>
      <w:r>
        <w:t>ეტაპი 6. აკონტროლეთ და დახურეთ ქმედებები.</w:t>
      </w:r>
    </w:p>
    <w:p>
      <w:pPr>
        <w:numPr>
          <w:ilvl w:val="0"/>
          <w:numId w:val="1009"/>
        </w:numPr>
        <w:pStyle w:val="Compact"/>
      </w:pPr>
      <w:r>
        <w:t>თითოეული ქმედება შეიყვანეთ ტრეკერში (INC-REG-001).</w:t>
      </w:r>
    </w:p>
    <w:p>
      <w:pPr>
        <w:numPr>
          <w:ilvl w:val="0"/>
          <w:numId w:val="1009"/>
        </w:numPr>
        <w:pStyle w:val="Compact"/>
      </w:pPr>
      <w:r>
        <w:t>ვადაგადაცილებული ქმედებები ყოველთვიურად გადახედეთ მმართველ ორგანოსთან ერთად.</w:t>
      </w:r>
    </w:p>
    <w:p>
      <w:pPr>
        <w:numPr>
          <w:ilvl w:val="0"/>
          <w:numId w:val="1009"/>
        </w:numPr>
        <w:pStyle w:val="Compact"/>
      </w:pPr>
      <w:r>
        <w:t>ქმედება დახურეთ მხოლოდ მაშინ, როცა წარმატების საზომი ნაჩვენებია.</w:t>
      </w:r>
    </w:p>
    <w:p>
      <w:pPr>
        <w:pStyle w:val="FirstParagraph"/>
      </w:pPr>
      <w:r>
        <w:rPr>
          <w:bCs/>
          <w:b/>
        </w:rPr>
        <w:t>მთავარი დებულება: ქმედება დასრულებულია მაშინ, როცა ის მუშაობს და არა მაშინ, როცა ის დაწერილია.</w:t>
      </w:r>
      <w:r/>
      <w:r/>
    </w:p>
    <w:p>
      <w:pPr>
        <w:pStyle w:val="BodyText"/>
      </w:pPr>
      <w:r>
        <w:t>ეტაპი 7. გაუზიარეთ და აცნობეთ.</w:t>
      </w:r>
    </w:p>
    <w:p>
      <w:pPr>
        <w:numPr>
          <w:ilvl w:val="0"/>
          <w:numId w:val="1010"/>
        </w:numPr>
        <w:pStyle w:val="Compact"/>
      </w:pPr>
      <w:r>
        <w:t>გაუზიარეთ დასკვნები და გაკვეთილები დაზარალებული მომსახურების თანამშრომლებს.</w:t>
      </w:r>
    </w:p>
    <w:p>
      <w:pPr>
        <w:numPr>
          <w:ilvl w:val="0"/>
          <w:numId w:val="1010"/>
        </w:numPr>
        <w:pStyle w:val="Compact"/>
      </w:pPr>
      <w:r>
        <w:t>შედეგი აცნობეთ მმართველ ორგანოს და, შესაბამისად, პაციენტს ან ოჯახს.</w:t>
      </w:r>
    </w:p>
    <w:p>
      <w:pPr>
        <w:pStyle w:val="FirstParagraph"/>
      </w:pPr>
      <w:r>
        <w:rPr>
          <w:bCs/>
          <w:b/>
        </w:rPr>
        <w:t>მთავარი დებულება: გაკვეთილები მხოლოდ მაშინ ეხმარება, როცა ხალხი მათ ისმენს.</w:t>
      </w:r>
      <w:r/>
      <w:r/>
    </w:p>
    <w:bookmarkEnd w:id="32"/>
    <w:bookmarkStart w:id="33" w:name="decision-points"/>
    <w:p>
      <w:pPr>
        <w:pStyle w:val="Heading2"/>
      </w:pPr>
      <w:r>
        <w:t>10. გადაწყვეტილების წერტილები</w:t>
      </w:r>
    </w:p>
    <w:p>
      <w:pPr>
        <w:numPr>
          <w:ilvl w:val="0"/>
          <w:numId w:val="1011"/>
        </w:numPr>
        <w:pStyle w:val="Compact"/>
      </w:pPr>
      <w:r>
        <w:t>თუ მიმოხილვა აჩენს შესაძლო სისხლის სამართლის ან პროფესიულ გადაცდომას, იგი შესაბამის ორგანოს გადაეცემა აღმასრულებელი დირექტორის მეშვეობით, სწავლის მიმოხილვისგან ცალკე (EC).</w:t>
      </w:r>
    </w:p>
    <w:bookmarkEnd w:id="33"/>
    <w:bookmarkStart w:id="34" w:name="special-situations"/>
    <w:p>
      <w:pPr>
        <w:pStyle w:val="Heading2"/>
      </w:pPr>
      <w:r>
        <w:t>11. განსაკუთრებული სიტუაციები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სიტუაცია</w:t>
            </w:r>
          </w:p>
        </w:tc>
        <w:tc>
          <w:tcPr/>
          <w:p>
            <w:pPr>
              <w:pStyle w:val="Compact"/>
              <w:jc w:val="left"/>
            </w:pPr>
            <w:r>
              <w:t>მოქმედება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პაციენტის გარდაცვალება</w:t>
            </w:r>
          </w:p>
        </w:tc>
        <w:tc>
          <w:tcPr/>
          <w:p>
            <w:pPr>
              <w:pStyle w:val="Compact"/>
              <w:jc w:val="left"/>
            </w:pPr>
            <w:r>
              <w:t>აცნობეთ კორონერს ან პროკურორს, სადაც კანონი მოითხოვს; მიჰყევით სამართლებრივ პროცედურას (EC).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4"/>
    <w:bookmarkStart w:id="35" w:name="escalation"/>
    <w:p>
      <w:pPr>
        <w:pStyle w:val="Heading2"/>
      </w:pPr>
      <w:r>
        <w:t>12. ესკალაცია</w:t>
      </w:r>
    </w:p>
    <w:p>
      <w:pPr>
        <w:numPr>
          <w:ilvl w:val="0"/>
          <w:numId w:val="1012"/>
        </w:numPr>
        <w:pStyle w:val="Compact"/>
      </w:pPr>
      <w:r>
        <w:t>მძიმე ინციდენტები მმართველ ორგანოს ეცნობება კლასიფიკაციიდან 24 საათში.</w:t>
      </w:r>
    </w:p>
    <w:p>
      <w:pPr>
        <w:numPr>
          <w:ilvl w:val="0"/>
          <w:numId w:val="1012"/>
        </w:numPr>
        <w:pStyle w:val="Compact"/>
      </w:pPr>
      <w:r>
        <w:t>ვადაგადაცილებული ქმედებები 30 დღის შემდეგ ეცნობება აღმასრულებელ დირექტორს.</w:t>
      </w:r>
    </w:p>
    <w:bookmarkEnd w:id="35"/>
    <w:bookmarkStart w:id="36" w:name="monitoring"/>
    <w:p>
      <w:pPr>
        <w:pStyle w:val="Heading2"/>
      </w:pPr>
      <w:r>
        <w:t>13. მონიტორინგი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584"/>
        <w:gridCol w:w="1584"/>
        <w:gridCol w:w="1584"/>
        <w:gridCol w:w="1584"/>
        <w:gridCol w:w="1584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მაჩვენებელი</w:t>
            </w:r>
          </w:p>
        </w:tc>
        <w:tc>
          <w:tcPr/>
          <w:p>
            <w:pPr>
              <w:pStyle w:val="Compact"/>
              <w:jc w:val="left"/>
            </w:pPr>
            <w:r>
              <w:t>სამიზნე</w:t>
            </w:r>
          </w:p>
        </w:tc>
        <w:tc>
          <w:tcPr/>
          <w:p>
            <w:pPr>
              <w:pStyle w:val="Compact"/>
              <w:jc w:val="left"/>
            </w:pPr>
            <w:r>
              <w:t>სიხშირე</w:t>
            </w:r>
          </w:p>
        </w:tc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>თუ არ შესრულდა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მძიმე ინციდენტები დასრულებული ძირეული მიზეზების მიმოხილვით 45 დღეში</w:t>
            </w:r>
          </w:p>
        </w:tc>
        <w:tc>
          <w:tcPr/>
          <w:p>
            <w:pPr>
              <w:pStyle w:val="Compact"/>
              <w:jc w:val="left"/>
            </w:pPr>
            <w:r>
              <w:t>100%</w:t>
            </w:r>
          </w:p>
        </w:tc>
        <w:tc>
          <w:tcPr/>
          <w:p>
            <w:pPr>
              <w:pStyle w:val="Compact"/>
              <w:jc w:val="left"/>
            </w:pPr>
            <w:r>
              <w:t>ყოველთვიურად</w:t>
            </w:r>
          </w:p>
        </w:tc>
        <w:tc>
          <w:tcPr/>
          <w:p>
            <w:pPr>
              <w:pStyle w:val="Compact"/>
              <w:jc w:val="left"/>
            </w:pPr>
            <w:r>
              <w:t>ხარისხის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>გადაეცით მმართველ ორგანოს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ქმედებები დასრულებულია ვადაში</w:t>
            </w:r>
          </w:p>
        </w:tc>
        <w:tc>
          <w:tcPr/>
          <w:p>
            <w:pPr>
              <w:pStyle w:val="Compact"/>
              <w:jc w:val="left"/>
            </w:pPr>
            <w:r>
              <w:t>90% (EC)</w:t>
            </w:r>
          </w:p>
        </w:tc>
        <w:tc>
          <w:tcPr/>
          <w:p>
            <w:pPr>
              <w:pStyle w:val="Compact"/>
              <w:jc w:val="left"/>
            </w:pPr>
            <w:r>
              <w:t>ყოველთვიურად</w:t>
            </w:r>
          </w:p>
        </w:tc>
        <w:tc>
          <w:tcPr/>
          <w:p>
            <w:pPr>
              <w:pStyle w:val="Compact"/>
              <w:jc w:val="left"/>
            </w:pPr>
            <w:r>
              <w:t>ხარისხის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>გადაეცით პასუხისმგებელი პირის მენეჯერს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ქმედებები დადასტურებულია ეფექტურად</w:t>
            </w:r>
          </w:p>
        </w:tc>
        <w:tc>
          <w:tcPr/>
          <w:p>
            <w:pPr>
              <w:pStyle w:val="Compact"/>
              <w:jc w:val="left"/>
            </w:pPr>
            <w:r>
              <w:t>დახურული ქმედებების 100%</w:t>
            </w:r>
          </w:p>
        </w:tc>
        <w:tc>
          <w:tcPr/>
          <w:p>
            <w:pPr>
              <w:pStyle w:val="Compact"/>
              <w:jc w:val="left"/>
            </w:pPr>
            <w:r>
              <w:t>ყოველკვარტალური</w:t>
            </w:r>
          </w:p>
        </w:tc>
        <w:tc>
          <w:tcPr/>
          <w:p>
            <w:pPr>
              <w:pStyle w:val="Compact"/>
              <w:jc w:val="left"/>
            </w:pPr>
            <w:r>
              <w:t>ხარისხის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>ქმედების ხელახლა გახსნა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6"/>
    <w:bookmarkStart w:id="37" w:name="records"/>
    <w:p>
      <w:pPr>
        <w:pStyle w:val="Heading2"/>
      </w:pPr>
      <w:r>
        <w:t>14. ჩანაწერები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>ინახება</w:t>
            </w:r>
          </w:p>
        </w:tc>
        <w:tc>
          <w:tcPr/>
          <w:p>
            <w:pPr>
              <w:pStyle w:val="Compact"/>
              <w:jc w:val="left"/>
            </w:pPr>
            <w:r>
              <w:t>შენახვის ვადა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RCA ჩანაწერი (INC-FRM-001)</w:t>
            </w:r>
          </w:p>
        </w:tc>
        <w:tc>
          <w:tcPr/>
          <w:p>
            <w:pPr>
              <w:pStyle w:val="Compact"/>
              <w:jc w:val="left"/>
            </w:pPr>
            <w:r>
              <w:t>ხარისხის ფაილი</w:t>
            </w:r>
          </w:p>
        </w:tc>
        <w:tc>
          <w:tcPr/>
          <w:p>
            <w:pPr>
              <w:pStyle w:val="Compact"/>
              <w:jc w:val="left"/>
            </w:pPr>
            <w:r>
              <w:t>დაწესებულების ჩანაწერების პოლიტიკით დადგენილი წლები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ქმედებების ტრეკერი (INC-REG-001)</w:t>
            </w:r>
          </w:p>
        </w:tc>
        <w:tc>
          <w:tcPr/>
          <w:p>
            <w:pPr>
              <w:pStyle w:val="Compact"/>
              <w:jc w:val="left"/>
            </w:pPr>
            <w:r>
              <w:t>ხარისხის ფაილი</w:t>
            </w:r>
          </w:p>
        </w:tc>
        <w:tc>
          <w:tcPr/>
          <w:p>
            <w:pPr>
              <w:pStyle w:val="Compact"/>
              <w:jc w:val="left"/>
            </w:pPr>
            <w:r>
              <w:t>დაწესებულების ჩანაწერების პოლიტიკით დადგენილი წლები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7"/>
    <w:bookmarkStart w:id="38" w:name="training"/>
    <w:p>
      <w:pPr>
        <w:pStyle w:val="Heading2"/>
      </w:pPr>
      <w:r>
        <w:t>15. ტრენინგი</w:t>
      </w:r>
    </w:p>
    <w:p>
      <w:pPr>
        <w:numPr>
          <w:ilvl w:val="0"/>
          <w:numId w:val="1013"/>
        </w:numPr>
        <w:pStyle w:val="Compact"/>
      </w:pPr>
      <w:r>
        <w:t>ხარისხის ხელმძღვანელები და უფროსი მენეჯერები გადამზადებულნი არიან ძირეული მიზეზების მეთოდებში მიმოხილვის ხელმძღვანელობამდე (EC).</w:t>
      </w:r>
    </w:p>
    <w:p>
      <w:pPr>
        <w:numPr>
          <w:ilvl w:val="0"/>
          <w:numId w:val="1013"/>
        </w:numPr>
        <w:pStyle w:val="Compact"/>
      </w:pPr>
      <w:r>
        <w:t>მიმოხილვაში ჩართულ თანამშრომლებს უკუკავშირი ეძლევათ დასკვნებზე.</w:t>
      </w:r>
    </w:p>
    <w:bookmarkEnd w:id="38"/>
    <w:bookmarkStart w:id="43" w:name="related-documents"/>
    <w:p>
      <w:pPr>
        <w:pStyle w:val="Heading2"/>
      </w:pPr>
      <w:r>
        <w:t>16. დაკავშირებული დოკუმენტები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ID</w:t>
            </w:r>
          </w:p>
        </w:tc>
        <w:tc>
          <w:tcPr/>
          <w:p>
            <w:pPr>
              <w:pStyle w:val="Compact"/>
              <w:jc w:val="left"/>
            </w:pPr>
            <w:r>
              <w:t>სათაური</w:t>
            </w:r>
          </w:p>
        </w:tc>
        <w:tc>
          <w:tcPr/>
          <w:p>
            <w:pPr>
              <w:pStyle w:val="Compact"/>
              <w:jc w:val="left"/>
            </w:pPr>
            <w:r>
              <w:t>გამოყენება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39">
              <w:r>
                <w:rPr>
                  <w:rStyle w:val="Hyperlink"/>
                </w:rPr>
                <w:t xml:space="preserve">INC-FRM-001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>ძირეული მიზეზების ანალიზის 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>გამოიყენება ეტაპებში 3-დან 5-მდე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40">
              <w:r>
                <w:rPr>
                  <w:rStyle w:val="Hyperlink"/>
                </w:rPr>
                <w:t xml:space="preserve">INC-REG-001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>ინციდენტის ქმედებების ტრეკერი</w:t>
            </w:r>
          </w:p>
        </w:tc>
        <w:tc>
          <w:tcPr/>
          <w:p>
            <w:pPr>
              <w:pStyle w:val="Compact"/>
              <w:jc w:val="left"/>
            </w:pPr>
            <w:r>
              <w:t>გამოიყენება ეტაპში 6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41">
              <w:r>
                <w:rPr>
                  <w:rStyle w:val="Hyperlink"/>
                </w:rPr>
                <w:t xml:space="preserve">INC-POL-001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>ინციდენტების შეტყობინება და მართვა</w:t>
            </w:r>
          </w:p>
        </w:tc>
        <w:tc>
          <w:tcPr/>
          <w:p>
            <w:pPr>
              <w:pStyle w:val="Compact"/>
              <w:jc w:val="left"/>
            </w:pPr>
            <w:r>
              <w:t>ინციდენტის კლასიფიკაცია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42">
              <w:r>
                <w:rPr>
                  <w:rStyle w:val="Hyperlink"/>
                </w:rPr>
                <w:t xml:space="preserve">GOV-PLN-002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>ხარისხის გაუმჯობესების გეგმა</w:t>
            </w:r>
          </w:p>
        </w:tc>
        <w:tc>
          <w:tcPr/>
          <w:p>
            <w:pPr>
              <w:pStyle w:val="Compact"/>
              <w:jc w:val="left"/>
            </w:pPr>
            <w:r>
              <w:t>ქმედებები გეგმას კვებავს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43"/>
    <w:bookmarkStart w:id="44" w:name="evidence"/>
    <w:p>
      <w:pPr>
        <w:pStyle w:val="Heading2"/>
      </w:pPr>
      <w:r>
        <w:t>17. 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E-009</w:t>
            </w:r>
          </w:p>
        </w:tc>
        <w:tc>
          <w:tcPr/>
          <w:p>
            <w:pPr>
              <w:pStyle w:val="Compact"/>
              <w:jc w:val="left"/>
            </w:pPr>
            <w:r>
              <w:t>ASF ექსპერტთა კომიტეტის კონსენსუსი. ვადები (2 დღე, 45 დღე, 24 საათი) EC-ის გადაწყვეტილებებია.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44"/>
    <w:bookmarkStart w:id="45" w:name="change-history"/>
    <w:p>
      <w:pPr>
        <w:pStyle w:val="Heading2"/>
      </w:pPr>
      <w:r>
        <w:t>18. 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1.0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დამტკიცებულია ASF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1.1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შიდა ხარისხის მიმოხილვა: შესწორდა ჯვარედინი მითითებები, სტატუსის ფორმულირებები და დოკუმენტების კონტროლი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დამტკიცებულია ASF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45"/>
    <w:bookmarkStart w:id="47" w:name="references"/>
    <w:p>
      <w:pPr>
        <w:pStyle w:val="Heading2"/>
      </w:pPr>
      <w:r>
        <w:t>წყაროები</w:t>
      </w:r>
    </w:p>
    <w:p>
      <w:pPr>
        <w:numPr>
          <w:ilvl w:val="0"/>
          <w:numId w:val="1014"/>
        </w:numPr>
        <w:pStyle w:val="Compact"/>
      </w:pPr>
      <w:r>
        <w:t>Accréditation Sans Frontières (2026). ASF Expert Committee consensus on Standard 1. (E-009)</w:t>
      </w:r>
      <w:r/>
      <w:r/>
    </w:p>
    <w:p>
      <w:pPr>
        <w:pStyle w:val="FirstParagraph"/>
      </w:pPr>
      <w:hyperlink r:id="rId46">
        <w:r>
          <w:rPr>
            <w:rStyle w:val="Hyperlink"/>
          </w:rPr>
          <w:t xml:space="preserve">Download this document as PDF</w:t>
        </w:r>
      </w:hyperlink>
    </w:p>
    <w:bookmarkEnd w:id="47"/>
    <w:sectPr>
      <w:headerReference w:type="default" r:id="rId9"/>
      <w:footerReference w:type="default" r:id="rId10"/>
      <w:pgSz w:w="11906" w:h="16838"/>
      <w:pgMar w:left="794" w:right="794" w:top="794" w:bottom="907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42" Type="http://schemas.openxmlformats.org/officeDocument/2006/relationships/hyperlink" Target="/documents/gov-pln-002/" TargetMode="External"/><Relationship Id="rId39" Type="http://schemas.openxmlformats.org/officeDocument/2006/relationships/hyperlink" Target="/documents/inc-frm-001/" TargetMode="External"/><Relationship Id="rId41" Type="http://schemas.openxmlformats.org/officeDocument/2006/relationships/hyperlink" Target="/documents/inc-pol-001/" TargetMode="External"/><Relationship Id="rId40" Type="http://schemas.openxmlformats.org/officeDocument/2006/relationships/hyperlink" Target="/documents/inc-reg-001/" TargetMode="External"/><Relationship Id="rId22" Type="http://schemas.openxmlformats.org/officeDocument/2006/relationships/hyperlink" Target="/resources/sop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2a/" TargetMode="External"/><Relationship Id="rId23" Type="http://schemas.openxmlformats.org/officeDocument/2006/relationships/hyperlink" Target="/standards/standard-2a/#c2a-6" TargetMode="External"/><Relationship Id="rId46" Type="http://schemas.openxmlformats.org/officeDocument/2006/relationships/hyperlink" Target="https://france-asf.fr/wp-content/uploads/2026/10/inc-sop-001.pdf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notes.xml.rels><?xml version='1.0' encoding='UTF-8' standalone='yes'?>
<Relationships xmlns="http://schemas.openxmlformats.org/package/2006/relationships"><Relationship Id="rId42" Type="http://schemas.openxmlformats.org/officeDocument/2006/relationships/hyperlink" Target="/documents/gov-pln-002/" TargetMode="External"/><Relationship Id="rId39" Type="http://schemas.openxmlformats.org/officeDocument/2006/relationships/hyperlink" Target="/documents/inc-frm-001/" TargetMode="External"/><Relationship Id="rId41" Type="http://schemas.openxmlformats.org/officeDocument/2006/relationships/hyperlink" Target="/documents/inc-pol-001/" TargetMode="External"/><Relationship Id="rId40" Type="http://schemas.openxmlformats.org/officeDocument/2006/relationships/hyperlink" Target="/documents/inc-reg-001/" TargetMode="External"/><Relationship Id="rId22" Type="http://schemas.openxmlformats.org/officeDocument/2006/relationships/hyperlink" Target="/resources/sop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2a/" TargetMode="External"/><Relationship Id="rId23" Type="http://schemas.openxmlformats.org/officeDocument/2006/relationships/hyperlink" Target="/standards/standard-2a/#c2a-6" TargetMode="External"/><Relationship Id="rId46" Type="http://schemas.openxmlformats.org/officeDocument/2006/relationships/hyperlink" Target="https://france-asf.fr/wp-content/uploads/2026/10/inc-sop-00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INC-SOP-001: Root Cause Analysis of Serious Incidents</dc:title>
  <dc:creator/>
  <cp:keywords/>
  <dcterms:created xsi:type="dcterms:W3CDTF">2026-10-28T21:34:48Z</dcterms:created>
  <dcterms:modified xsi:type="dcterms:W3CDTF">2026-10-28T21:34:48Z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