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IPC-POL-001: ინფექციების პრევენციისა და კონტროლის პროგრამა</w:t>
      </w:r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პოლიტიკა</w:t>
            </w:r>
          </w:p>
          <w:p>
            <w:pPr>
              <w:pStyle w:val="Compact"/>
              <w:jc w:val="left"/>
            </w:pPr>
            <w:r>
              <w:t>ინფექციების პრევენციისა და კონტროლის პროგრამა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IPC-POL-001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BASIS</w:t>
        </w:r>
      </w:hyperlink>
      <w:r/>
      <w:r/>
      <w:r/>
      <w:hyperlink r:id="rId22">
        <w:r>
          <w:rPr>
            <w:rStyle w:val="Hyperlink"/>
          </w:rPr>
          <w:t xml:space="preserve">Policies</w:t>
        </w:r>
      </w:hyperlink>
    </w:p>
    <w:p>
      <w:pPr>
        <w:pStyle w:val="BodyText"/>
      </w:pPr>
      <w:r>
        <w:t>პოლიტიკა · IPC-POL-001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B1.15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დაწესებულებას აქვს წერილობითი ინფექციების პრევენციისა და კონტროლის (IPC) პროგრამა დასახელებული ლიდერით, რომელიც მინიმუმ წელიწადში ერთხელ გადაიხედება.</w:t>
      </w:r>
    </w:p>
    <w:p>
      <w:pPr>
        <w:numPr>
          <w:ilvl w:val="0"/>
          <w:numId w:val="1001"/>
        </w:numPr>
        <w:pStyle w:val="Compact"/>
      </w:pPr>
      <w:r>
        <w:t>ხელების ჰიგიენა, პირადი დამცავი საშუალებები, იზოლაცია და დასუფთავება მკურნალობის ყოველ წერტილში უზრუნველყოფილია.</w:t>
      </w:r>
    </w:p>
    <w:p>
      <w:pPr>
        <w:numPr>
          <w:ilvl w:val="0"/>
          <w:numId w:val="1001"/>
        </w:numPr>
        <w:pStyle w:val="Compact"/>
      </w:pPr>
      <w:r>
        <w:t>მკურნალობასთან დაკავშირებული ინფექციები ყოველკვარტალურად ითვლება, და ყოველი კლასტერი იძიებება და მასზე რეაგირდება.</w:t>
      </w:r>
    </w:p>
    <w:p>
      <w:pPr>
        <w:numPr>
          <w:ilvl w:val="0"/>
          <w:numId w:val="1001"/>
        </w:numPr>
        <w:pStyle w:val="Compact"/>
      </w:pPr>
      <w:r>
        <w:t>პროგრამას ამტკიცებს მმართველი ორგანო და წელიწადში ერთხელ აწვდიან მას ანგარიშს.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საქმიანობა და გამოიძახეთ დახმარება, თუ: წერილობითი პროგრამა ან დასახელებული ლიდერი არ არსებობს, ან ინფექციების კლასტერს არ აქვს აღრიცხული გამოძიება.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იმისათვის, რომ პაციენტები, პერსონალი და ვიზიტორები დაცული იყვნენ მკურნალობასთან დაკავშირებული ინფექციებისგან, წერილობითი, გადასინჯული და მონიტორინგირებადი პროგრამის საშუალებით (B1.15).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საქმიანობა, რომელსაც მოიცავს სხვა დოკუმენტი, ჩამოთვლილი მე-15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მკურნალობასთან დაკავშირებული ინფექცია</w:t>
            </w:r>
          </w:p>
        </w:tc>
        <w:tc>
          <w:tcPr/>
          <w:p>
            <w:pPr>
              <w:pStyle w:val="Compact"/>
              <w:jc w:val="left"/>
            </w:pPr>
            <w:r>
              <w:t>ინფექცია, რომელსაც პაციენტი დაწესებულებაში მკურნალობისას იძენს და რომელიც მიღებისას არ იყო არც არსებობდა და არც ინკუბაციურ ფაზაში.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კლასტერი</w:t>
            </w:r>
          </w:p>
        </w:tc>
        <w:tc>
          <w:tcPr/>
          <w:p>
            <w:pPr>
              <w:pStyle w:val="Compact"/>
              <w:jc w:val="left"/>
            </w:pPr>
            <w:r>
              <w:t>ერთი და იმავე ინფექციის ორი ან მეტი დაკავშირებული შემთხვევა იმავე არეში მოკლე დროში, ან ერთი ინფექციის უჩვეულო ნიმუში.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სტანდარტული სიფრთხილის ზომები</w:t>
            </w:r>
          </w:p>
        </w:tc>
        <w:tc>
          <w:tcPr/>
          <w:p>
            <w:pPr>
              <w:pStyle w:val="Compact"/>
              <w:jc w:val="left"/>
            </w:pPr>
            <w:r>
              <w:t>ძირითადი ზომები, რომელიც ყველა პაციენტისთვის გამოიყენება: ხელების ჰიგიენა, პირადი დამცავი საშუალებები, ბასრი ნივთებისა და ნარჩენების უსაფრთხო მოპყრობა და სუნთქვის ჰიგიენა.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იზოლაცია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დამატებითი ზომები პაციენტისთვის, რომელსაც აქვს ან ეჭვობენ, რომ აქვს გადამდები ინფექცია.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იმისათვის, რომ პაციენტები, პერსონალი და ვიზიტორები დაცული იყვნენ მკურნალობასთან დაკავშირებული ინფექციებისგან, წერილობითი, გადასინჯული და მონიტორინგირებადი პროგრამის საშუალებით (B1.15).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IPC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>ხელმძღვანელობს პროგრამას, ხელმძღვანელობს სათვალთვალო სისტემას და ეპიდემიაზე რეაგირებას, და ყოველკვარტალურად ანგარიშს აძლევს კლინიკურ დირექტორს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>ამტკიცებს პროგრამას, უზრუნველყოფს რესურსებს და წელიწადში ერთხელ ანგარიშს აძლევს მმართველ ორგანოს</w:t>
            </w:r>
          </w:p>
        </w:tc>
        <w:tc>
          <w:tcPr/>
          <w:p>
            <w:pPr>
              <w:pStyle w:val="Compact"/>
              <w:jc w:val="left"/>
            </w:pPr>
            <w:r>
              <w:t>მმართველი ორგანო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განყოფილებებისა და დეპარტამენტების ხელმძღვანელები</w:t>
            </w:r>
          </w:p>
        </w:tc>
        <w:tc>
          <w:tcPr/>
          <w:p>
            <w:pPr>
              <w:pStyle w:val="Compact"/>
              <w:jc w:val="left"/>
            </w:pPr>
            <w:r>
              <w:t>უზრუნველყოფენ, რომ მათ არეში შესრულდეს ხელების ჰიგიენა, პირადი დამცავი საშუალებები, იზოლაცია და დასუფთავება, და აცნობებენ პრობლემებს</w:t>
            </w:r>
          </w:p>
        </w:tc>
        <w:tc>
          <w:tcPr/>
          <w:p>
            <w:pPr>
              <w:pStyle w:val="Compact"/>
              <w:jc w:val="left"/>
            </w:pPr>
            <w:r>
              <w:t>IPC ლიდერი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ყველა თანამშრომელი</w:t>
            </w:r>
          </w:p>
        </w:tc>
        <w:tc>
          <w:tcPr/>
          <w:p>
            <w:pPr>
              <w:pStyle w:val="Compact"/>
              <w:jc w:val="left"/>
            </w:pPr>
            <w:r>
              <w:t>იცავენ სტანდარტულ სიფრთხილის ზომებს პაციენტთან ყოველ კონტაქტზე და აცნობებენ ექსპოზიციებსა და ინფექციებს</w:t>
            </w:r>
          </w:p>
        </w:tc>
        <w:tc>
          <w:tcPr/>
          <w:p>
            <w:pPr>
              <w:pStyle w:val="Compact"/>
              <w:jc w:val="left"/>
            </w:pPr>
            <w:r>
              <w:t>არის ხელმძღვანელი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თავიდან აცილება.</w:t>
      </w:r>
    </w:p>
    <w:p>
      <w:pPr>
        <w:numPr>
          <w:ilvl w:val="0"/>
          <w:numId w:val="1004"/>
        </w:numPr>
        <w:pStyle w:val="Compact"/>
      </w:pPr>
      <w:r>
        <w:t>იცავით სტანდარტულ სიფრთხილის ზომებს პაციენტთან ყოველ კონტაქტზე და გამოიყენეთ ხელების ჰიგიენის 5 მომენტი (HH-SOP-001).</w:t>
      </w:r>
    </w:p>
    <w:p>
      <w:pPr>
        <w:numPr>
          <w:ilvl w:val="0"/>
          <w:numId w:val="1004"/>
        </w:numPr>
        <w:pStyle w:val="Compact"/>
      </w:pPr>
      <w:r>
        <w:t>პაციენტი მოათავსეთ იზოლაციაში, როცა ეჭვობენ ან დასტურდება ინფექცია, იზოლაციის შემოწმების მიხედვით (DIA-FRM-007 და იზოლაციის პროცედურა).</w:t>
      </w:r>
    </w:p>
    <w:p>
      <w:pPr>
        <w:pStyle w:val="FirstParagraph"/>
      </w:pPr>
      <w:r>
        <w:rPr>
          <w:bCs/>
          <w:b/>
        </w:rPr>
        <w:t>მთავარი: სიფრთხილის ზომები გამოყენებულია.</w:t>
      </w:r>
      <w:r/>
      <w:r/>
    </w:p>
    <w:p>
      <w:pPr>
        <w:pStyle w:val="BodyText"/>
      </w:pPr>
      <w:r>
        <w:t>ნაბიჯი 2. გამოვლენა.</w:t>
      </w:r>
    </w:p>
    <w:p>
      <w:pPr>
        <w:numPr>
          <w:ilvl w:val="0"/>
          <w:numId w:val="1005"/>
        </w:numPr>
        <w:pStyle w:val="Compact"/>
      </w:pPr>
      <w:r>
        <w:t>ყოველთვიურად ითვალეთ მკურნალობასთან დაკავშირებული ინფექციები და ყოველკვარტალურად შეაჯამეთ სათვალთვალო რეგისტრში (IPC-REG-001).</w:t>
      </w:r>
    </w:p>
    <w:p>
      <w:pPr>
        <w:numPr>
          <w:ilvl w:val="0"/>
          <w:numId w:val="1005"/>
        </w:numPr>
        <w:pStyle w:val="Compact"/>
      </w:pPr>
      <w:r>
        <w:t>ყოველთვიურად შეამოწმეთ ხელების ჰიგიენის შესრულება (HH-FRM-001).</w:t>
      </w:r>
    </w:p>
    <w:p>
      <w:pPr>
        <w:pStyle w:val="FirstParagraph"/>
      </w:pPr>
      <w:r>
        <w:rPr>
          <w:bCs/>
          <w:b/>
        </w:rPr>
        <w:t>მთავარი: ინფექციები დათვლილია და შემოწმებულია.</w:t>
      </w:r>
      <w:r/>
      <w:r/>
    </w:p>
    <w:p>
      <w:pPr>
        <w:pStyle w:val="BodyText"/>
      </w:pPr>
      <w:r>
        <w:t>ნაბიჯი 3. რეაგირება.</w:t>
      </w:r>
    </w:p>
    <w:p>
      <w:pPr>
        <w:numPr>
          <w:ilvl w:val="0"/>
          <w:numId w:val="1006"/>
        </w:numPr>
        <w:pStyle w:val="Compact"/>
      </w:pPr>
      <w:r>
        <w:t>კლასტერის დანახვისას IPC ლიდერი 24 საათში იძიებს, წყვეტს ზომებს და აღრიცხავს მოქმედებასა და შედეგს.</w:t>
      </w:r>
    </w:p>
    <w:p>
      <w:pPr>
        <w:numPr>
          <w:ilvl w:val="0"/>
          <w:numId w:val="1006"/>
        </w:numPr>
        <w:pStyle w:val="Compact"/>
      </w:pPr>
      <w:r>
        <w:t>თუ კლასტერი სერიოზულია ან უჩვეულო, იმავე დღეს აცნობეთ კლინიკურ დირექტორს.</w:t>
      </w:r>
    </w:p>
    <w:p>
      <w:pPr>
        <w:pStyle w:val="FirstParagraph"/>
      </w:pPr>
      <w:r>
        <w:rPr>
          <w:bCs/>
          <w:b/>
        </w:rPr>
        <w:t>მთავარი: კლასტერი გამოძიებულია და მასზე რეაგირებულია.</w:t>
      </w:r>
      <w:r/>
      <w:r/>
    </w:p>
    <w:p>
      <w:pPr>
        <w:pStyle w:val="BodyText"/>
      </w:pPr>
      <w:r>
        <w:t>ნაბიჯი 4. გადასინჯვა.</w:t>
      </w:r>
    </w:p>
    <w:p>
      <w:pPr>
        <w:numPr>
          <w:ilvl w:val="0"/>
          <w:numId w:val="1007"/>
        </w:numPr>
        <w:pStyle w:val="Compact"/>
      </w:pPr>
      <w:r>
        <w:t>პროგრამას წელიწადში ერთხელ გადაიხედავთ მონაცემების, ინციდენტებისა და ეროვნული რეკომენდაციების მიხედვით, და ცვლილებებს მმართველი ორგანო ამტკიცებს.</w:t>
      </w:r>
    </w:p>
    <w:p>
      <w:pPr>
        <w:pStyle w:val="FirstParagraph"/>
      </w:pPr>
      <w:r>
        <w:rPr>
          <w:bCs/>
          <w:b/>
        </w:rPr>
        <w:t>მთავარი: პროგრამა გადასინჯულია.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9"/>
        </w:numPr>
        <w:pStyle w:val="Compact"/>
      </w:pPr>
      <w:r>
        <w:t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ხელების ჰიგიენის შესრულება 5 მომენტში</w:t>
            </w:r>
          </w:p>
        </w:tc>
        <w:tc>
          <w:tcPr/>
          <w:p>
            <w:pPr>
              <w:pStyle w:val="Compact"/>
              <w:jc w:val="left"/>
            </w:pPr>
            <w:r>
              <w:t>80% ან მეტი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IPC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გადაამზადეთ არე და გაიმეორეთ აუდიტი ერთ თვეში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კლასტერები აღრიცხული გამოძიებითა და მოქმედებით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>IPC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გადაეცით კლინიკურ დირექტორს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სათვალთვალო ანგარიში შედგენილია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>IPC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გადაეცით მმართველ ორგანოს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10"/>
        </w:numPr>
        <w:pStyle w:val="Compact"/>
      </w:pPr>
      <w:r>
        <w:t>ყველა თანამშრომელი გადის ინფექციების პრევენციისა და კონტროლის ტრენინგს ადაპტაციისას და ყოველ წელს, აღრიცხული კომპეტენციის შემოწმებით.</w:t>
      </w:r>
    </w:p>
    <w:p>
      <w:pPr>
        <w:numPr>
          <w:ilvl w:val="0"/>
          <w:numId w:val="1010"/>
        </w:numPr>
        <w:pStyle w:val="Compact"/>
      </w:pPr>
      <w:r>
        <w:t>IPC ლიდერი ყოველ ორ წელიწადში ერთხელ გადის მოწინავე ტრენინგს.</w:t>
      </w:r>
    </w:p>
    <w:bookmarkEnd w:id="38"/>
    <w:bookmarkStart w:id="44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HH-SOP-001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ხელების ჰიგიენა მკურნალობის წერტილში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SOP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HH-POL-001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ხელების ჰიგიენის პოლიტიკა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პოლიტიკა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IPC-REG-001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მკურნალობასთან დაკავშირებული ინფექციების სათვალთვალო რეგისტრი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2">
              <w:r>
                <w:rPr>
                  <w:rStyle w:val="Hyperlink"/>
                </w:rPr>
                <w:t xml:space="preserve">PRO-SOP-005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სტერილური ტექნიკა და ინფექციების კონტროლი პროცედურებში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SOP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3">
              <w:r>
                <w:rPr>
                  <w:rStyle w:val="Hyperlink"/>
                </w:rPr>
                <w:t xml:space="preserve">SRG-POL-003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ქირურგიული ადგილის ინფექციის პრევენცია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პოლიტიკა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4"/>
    <w:bookmarkStart w:id="45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5"/>
    <w:bookmarkStart w:id="46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ჯერ არ არის დაკავშირებული ელექტრონული კურსი.</w:t>
      </w:r>
    </w:p>
    <w:bookmarkEnd w:id="46"/>
    <w:bookmarkStart w:id="49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1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1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7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12"/>
        </w:numPr>
        <w:pStyle w:val="Compact"/>
      </w:pPr>
      <w:hyperlink r:id="rId48">
        <w:r>
          <w:rPr>
            <w:rStyle w:val="Hyperlink"/>
          </w:rPr>
          <w:t xml:space="preserve">Standard 2: Governance and Safety Culture</w:t>
        </w:r>
      </w:hyperlink>
    </w:p>
    <w:bookmarkEnd w:id="49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0" Type="http://schemas.openxmlformats.org/officeDocument/2006/relationships/hyperlink" Target="/documents/hh-pol-001/" TargetMode="External"/><Relationship Id="rId39" Type="http://schemas.openxmlformats.org/officeDocument/2006/relationships/hyperlink" Target="/documents/hh-sop-001/" TargetMode="External"/><Relationship Id="rId41" Type="http://schemas.openxmlformats.org/officeDocument/2006/relationships/hyperlink" Target="/documents/ipc-reg-001/" TargetMode="External"/><Relationship Id="rId42" Type="http://schemas.openxmlformats.org/officeDocument/2006/relationships/hyperlink" Target="/documents/pro-sop-005/" TargetMode="External"/><Relationship Id="rId43" Type="http://schemas.openxmlformats.org/officeDocument/2006/relationships/hyperlink" Target="/documents/srg-pol-003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the-basis/" TargetMode="External"/><Relationship Id="rId23" Type="http://schemas.openxmlformats.org/officeDocument/2006/relationships/hyperlink" Target="/standards/the-basis/#cb1-15" TargetMode="External"/><Relationship Id="rId48" Type="http://schemas.openxmlformats.org/officeDocument/2006/relationships/hyperlink" Target="https://france-asf.fr/standards/standard-2/" TargetMode="External"/><Relationship Id="rId47" Type="http://schemas.openxmlformats.org/officeDocument/2006/relationships/hyperlink" Target="https://france-asf.fr/wp-content/uploads/2026/10/ipc-pol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40" Type="http://schemas.openxmlformats.org/officeDocument/2006/relationships/hyperlink" Target="/documents/hh-pol-001/" TargetMode="External"/><Relationship Id="rId39" Type="http://schemas.openxmlformats.org/officeDocument/2006/relationships/hyperlink" Target="/documents/hh-sop-001/" TargetMode="External"/><Relationship Id="rId41" Type="http://schemas.openxmlformats.org/officeDocument/2006/relationships/hyperlink" Target="/documents/ipc-reg-001/" TargetMode="External"/><Relationship Id="rId42" Type="http://schemas.openxmlformats.org/officeDocument/2006/relationships/hyperlink" Target="/documents/pro-sop-005/" TargetMode="External"/><Relationship Id="rId43" Type="http://schemas.openxmlformats.org/officeDocument/2006/relationships/hyperlink" Target="/documents/srg-pol-003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the-basis/" TargetMode="External"/><Relationship Id="rId23" Type="http://schemas.openxmlformats.org/officeDocument/2006/relationships/hyperlink" Target="/standards/the-basis/#cb1-15" TargetMode="External"/><Relationship Id="rId48" Type="http://schemas.openxmlformats.org/officeDocument/2006/relationships/hyperlink" Target="https://france-asf.fr/standards/standard-2/" TargetMode="External"/><Relationship Id="rId47" Type="http://schemas.openxmlformats.org/officeDocument/2006/relationships/hyperlink" Target="https://france-asf.fr/wp-content/uploads/2026/10/ipc-pol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IPC-POL-001: Infection prevention and control programme</dc:title>
  <dc:creator/>
  <cp:keywords/>
  <dcterms:created xsi:type="dcterms:W3CDTF">2026-10-28T21:34:25Z</dcterms:created>
  <dcterms:modified xsi:type="dcterms:W3CDTF">2026-10-28T21:34:25Z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