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LBT-POL-001: აღჭურვილობის კალიბრაცია და მიკვლევადობა</w:t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ორგანიზაციის დასახელება</w:t>
            </w:r>
          </w:p>
          <w:p>
            <w:pPr>
              <w:pStyle w:val="Compact"/>
              <w:jc w:val="left"/>
            </w:pPr>
            <w:r>
              <w:t xml:space="preserve">ობიექტი ან ერთეული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პოლიტიკა</w:t>
            </w:r>
          </w:p>
          <w:p>
            <w:pPr>
              <w:pStyle w:val="Compact"/>
              <w:jc w:val="left"/>
            </w:pPr>
            <w:r>
              <w:t xml:space="preserve">აღჭურვილობის კალიბრაცია და მიკვლევადობა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LBT-POL-001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ცარიელი ფორმა, შესავსებად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სტანდარტები › სტანდარტი 33 › პოლიტიკები</w:t>
        </w:r>
      </w:hyperlink>
      <w:r>
        <w:t xml:space="preserve"/>
      </w:r>
      <w:r>
        <w:t xml:space="preserve"/>
      </w:r>
      <w:r>
        <w:t xml:space="preserve"/>
      </w:r>
      <w:hyperlink r:id="rId21">
        <w:r>
          <w:rPr>
            <w:rStyle w:val="Hyperlink"/>
          </w:rPr>
          <w:t xml:space="preserve"/>
        </w:r>
      </w:hyperlink>
      <w:r>
        <w:t xml:space="preserve"/>
      </w:r>
      <w:r>
        <w:t xml:space="preserve"/>
      </w:r>
      <w:r>
        <w:t xml:space="preserve"/>
      </w:r>
      <w:hyperlink r:id="rId22">
        <w:r>
          <w:rPr>
            <w:rStyle w:val="Hyperlink"/>
          </w:rPr>
          <w:t xml:space="preserve"/>
        </w:r>
      </w:hyperlink>
    </w:p>
    <w:p>
      <w:pPr>
        <w:pStyle w:val="BodyText"/>
      </w:pPr>
      <w:r>
        <w:t xml:space="preserve">პოლიტიკა · LBT-POL-001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33.1</w:t>
      </w:r>
      <w:r>
        <w:t xml:space="preserve"/>
      </w:r>
      <w:hyperlink r:id="rId23">
        <w:r>
          <w:rPr>
            <w:rStyle w:val="Hyperlink"/>
          </w:rPr>
          <w:t xml:space="preserve"/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ყოველი ინსტრუმენტი და საზომი მოწყობილობა კალიბრირდება ან მოწმდება დადგენილ ინტერვალში მიკვლევადი ეტალონის მიმართ (LBT-REG-001).</w:t>
      </w:r>
    </w:p>
    <w:p>
      <w:pPr>
        <w:numPr>
          <w:ilvl w:val="0"/>
          <w:numId w:val="1001"/>
        </w:numPr>
        <w:pStyle w:val="Compact"/>
      </w:pPr>
      <w:r>
        <w:t xml:space="preserve">კალიბრაციის ვადაგასული მოწყობილობა ამოღებულია პაციენტის ტესტირებიდან.</w:t>
      </w:r>
    </w:p>
    <w:p>
      <w:pPr>
        <w:numPr>
          <w:ilvl w:val="0"/>
          <w:numId w:val="1001"/>
        </w:numPr>
        <w:pStyle w:val="Compact"/>
      </w:pPr>
      <w:r>
        <w:t xml:space="preserve">კალიბრაციის სერთიფიკატებში მითითებულია მიკვლევადი ეტალონი.</w:t>
      </w:r>
    </w:p>
    <w:p>
      <w:pPr>
        <w:numPr>
          <w:ilvl w:val="0"/>
          <w:numId w:val="1001"/>
        </w:numPr>
        <w:pStyle w:val="Compact"/>
      </w:pPr>
      <w:r>
        <w:t xml:space="preserve">კალიბრაციის სტატუსი მოწმდება ყოველ გაშვებამდე.</w:t>
      </w:r>
    </w:p>
    <w:p>
      <w:pPr>
        <w:numPr>
          <w:ilvl w:val="0"/>
          <w:numId w:val="1001"/>
        </w:numPr>
        <w:pStyle w:val="Compact"/>
      </w:pPr>
      <w:r>
        <w:t xml:space="preserve">გააჩერეთ და დაუყოვნებლივ მოითხოვეთ დახმარება, თუ: კალიბრაციის ვადაგასული ან ჩავარდნილი მოწყობილობა გამოიყენება პაციენტის შედეგებისთვის.</w:t>
      </w:r>
    </w:p>
    <w:bookmarkStart w:id="24" w:name="purpose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 უზრუნველყოფა, რომ ყოველი საზომი მოწყობილობა იძლევა ზუსტ და მიკვლევად შედეგებს ეტალონის მიმართ (33.1).</w:t>
      </w:r>
    </w:p>
    <w:bookmarkEnd w:id="24"/>
    <w:bookmarkStart w:id="25" w:name="scope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და დამხმარე პერსონალი საავადმყოფოში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ყველა სამედიცინო განყოფილება, კლინიკა და დეპარტამენტი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რომელიც დაფარულია მე-15 განყოფილებაში ჩამოთვლილი სხვა დოკუმენტით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5"/>
    <w:bookmarkStart w:id="26" w:name="definitions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ლიდერი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იმ დროს პასუხისმგებელია უბანზე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background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კალიბრაციადაკარგული ინსტრუმენტი იძლევა შედეგებს, რომლებიც ნორმალურად გამოიყურება, მაგრამ არასწორია. ყოველ ინსტრუმენტზე, რომელიც იძლევა ჩასაწერ შედეგს, მიმდინარე კალიბრაცია არის ზუსტი შედეგების საფუძველი.</w:t>
      </w:r>
    </w:p>
    <w:bookmarkEnd w:id="27"/>
    <w:bookmarkStart w:id="28" w:name="responsibilities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ლაბორატორიის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ფლობს კალიბრაციის პროგრამასა და მის ინტერვალს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სამედიცინო დირექტორი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ლაბორატორიის ტექნიკოსი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ამოწმებს სტატუსს ყოველ გაშვებამდე და ამოიღებს ნებისმიერ მოწყობილობას, რომელმაც ვერ გაიარა 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ლაბორატორიის დირექტორი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29" w:name="materials-and-equipment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ელემენტი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შემოწმებულია გამოყენებამდე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9"/>
    <w:bookmarkStart w:id="30" w:name="safety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გააჩერეთ და მოითხოვეთ დახმარება, თუ პაციენტი უშუალო საფრთხეშია. არ გააჭიანუროთ გადაუდებელი მოვლა დოკუმენტაციის შევსებით.</w:t>
      </w:r>
    </w:p>
    <w:bookmarkEnd w:id="30"/>
    <w:bookmarkStart w:id="31" w:name="before-you-start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დარწმუნდით, რომ ამ დოკუმენტში დასახელებული ფორმები და აღჭურვილობა ხელმისაწვდომი და მიმდინარეა.</w:t>
      </w:r>
    </w:p>
    <w:bookmarkEnd w:id="31"/>
    <w:bookmarkStart w:id="32" w:name="procedure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დაგეგმვა.</w:t>
      </w:r>
    </w:p>
    <w:p>
      <w:pPr>
        <w:numPr>
          <w:ilvl w:val="0"/>
          <w:numId w:val="1004"/>
        </w:numPr>
        <w:pStyle w:val="Compact"/>
      </w:pPr>
      <w:r>
        <w:t xml:space="preserve">დაადგინეთ კალიბრაციის ინტერვალი თითოეული მოწყობილობისთვის მწარმოებლისა და რისკის მიხედვით.</w:t>
      </w:r>
    </w:p>
    <w:p>
      <w:pPr>
        <w:pStyle w:val="FirstParagraph"/>
      </w:pPr>
      <w:r>
        <w:rPr>
          <w:bCs/>
          <w:b/>
        </w:rPr>
        <w:t xml:space="preserve">მთავარი პუნქტი: დაგეგმილია.</w:t>
      </w:r>
      <w:r>
        <w:t xml:space="preserve"/>
      </w:r>
      <w:r>
        <w:t xml:space="preserve"/>
      </w:r>
    </w:p>
    <w:p>
      <w:pPr>
        <w:pStyle w:val="BodyText"/>
      </w:pPr>
      <w:r>
        <w:t xml:space="preserve">ნაბიჯი 2. კალიბრაცია.</w:t>
      </w:r>
    </w:p>
    <w:p>
      <w:pPr>
        <w:numPr>
          <w:ilvl w:val="0"/>
          <w:numId w:val="1005"/>
        </w:numPr>
        <w:pStyle w:val="Compact"/>
      </w:pPr>
      <w:r>
        <w:t xml:space="preserve">კალიბრირება ან შემოწმება თითოეული მოწყობილობისა მიკვლევადი ეტალონის მიმართ და ჩაწერეთ (LBT-REG-001).</w:t>
      </w:r>
    </w:p>
    <w:p>
      <w:pPr>
        <w:pStyle w:val="FirstParagraph"/>
      </w:pPr>
      <w:r>
        <w:rPr>
          <w:bCs/>
          <w:b/>
        </w:rPr>
        <w:t xml:space="preserve">მთავარი პუნქტი: კალიბრირებულია.</w:t>
      </w:r>
      <w:r>
        <w:t xml:space="preserve"/>
      </w:r>
      <w:r>
        <w:t xml:space="preserve"/>
      </w:r>
    </w:p>
    <w:p>
      <w:pPr>
        <w:pStyle w:val="BodyText"/>
      </w:pPr>
      <w:r>
        <w:t xml:space="preserve">ნაბიჯი 3. ამოღება.</w:t>
      </w:r>
    </w:p>
    <w:p>
      <w:pPr>
        <w:numPr>
          <w:ilvl w:val="0"/>
          <w:numId w:val="1006"/>
        </w:numPr>
        <w:pStyle w:val="Compact"/>
      </w:pPr>
      <w:r>
        <w:t xml:space="preserve">ამოიღეთ ყოველი მოწყობილობა, რომელმაც ვერ გაიარა ან ვადა გაუვიდა, და ჩაწერეთ ამოღება.</w:t>
      </w:r>
    </w:p>
    <w:p>
      <w:pPr>
        <w:pStyle w:val="FirstParagraph"/>
      </w:pPr>
      <w:r>
        <w:rPr>
          <w:bCs/>
          <w:b/>
        </w:rPr>
        <w:t xml:space="preserve">მთავარი პუნქტი: ამოღებულია.</w:t>
      </w:r>
      <w:r>
        <w:t xml:space="preserve"/>
      </w:r>
      <w:r>
        <w:t xml:space="preserve"/>
      </w:r>
    </w:p>
    <w:bookmarkEnd w:id="32"/>
    <w:bookmarkStart w:id="33" w:name="decision-points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special-situations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იგივე ნაბიჯებს. გამოიყენეთ კონტაქტი გადაუდებელი ზარისთვის, რომელიც უბნის კედელზეა.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4"/>
    <w:bookmarkStart w:id="35" w:name="escalation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ყოველი სერიოზული პრობლემა დაუყოვნებლივ ეგზავნება მოვალე კლინიკურ ლიდერს, ხოლო იმავე დღეს — კლინიკურ დირექტორს.</w:t>
      </w:r>
    </w:p>
    <w:bookmarkEnd w:id="35"/>
    <w:bookmarkStart w:id="36" w:name="monitoring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ზომა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მიზანი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მოწყობილობები კალიბრაციის ინტერვალში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ლაბორატორიის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ამოიღეთ მოწყობილობა და გადააგზავნეთ სამედიცინო დირექტორთან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6"/>
    <w:bookmarkStart w:id="37" w:name="records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ისტორია ან უბნის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ჩანაწერების პოლიტიკით დადგენილი პერიოდი, წლები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7"/>
    <w:bookmarkStart w:id="38" w:name="training"/>
    <w:p>
      <w:pPr>
        <w:pStyle w:val="Heading2"/>
      </w:pPr>
      <w:r>
        <w:t xml:space="preserve">15. ტრენინგი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ივარჯიშებს ამ დოკუმენტში დაწყებისას და ყოველ წელს ახლდება, ჩაწერილი კომპეტენციის შემოწმებით.</w:t>
      </w:r>
    </w:p>
    <w:bookmarkEnd w:id="38"/>
    <w:bookmarkStart w:id="40" w:name="related-documents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LBT-REG-001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კალიბრაციისა და ტექნიკური მომსახურების რეგისტრი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რეგისტრი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0"/>
    <w:bookmarkStart w:id="41" w:name="evidence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ISO 15189:2022 Medical laboratories: requirements for quality and competence, ISO 9001:2015 მომწოდებლის კონტროლისთვის და Global Patient Safety Action Plan 2021–2030 კრიტიკული შედეგებისთვის.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პოლიტიკის ჩარჩო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1"/>
    <w:bookmarkStart w:id="42" w:name="change-history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დაყენებულია ექსპერტთა კომიტეტის დამტკიცება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2"/>
    <w:bookmarkStart w:id="44" w:name="references"/>
    <w:p>
      <w:pPr>
        <w:pStyle w:val="Heading2"/>
      </w:pPr>
      <w:r>
        <w:t xml:space="preserve">მითითებები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Policy Framework v1.2. (E-006)</w:t>
      </w:r>
      <w:r>
        <w:t xml:space="preserve"/>
      </w:r>
      <w:r>
        <w:t xml:space="preserve"/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Expert Committee consensus on Standard 1. (E-009)</w:t>
      </w:r>
      <w:r>
        <w:t xml:space="preserve"/>
      </w:r>
      <w:r>
        <w:t xml:space="preserve"/>
      </w:r>
    </w:p>
    <w:p>
      <w:pPr>
        <w:pStyle w:val="FirstParagraph"/>
      </w:pPr>
      <w:hyperlink r:id="rId43">
        <w:r>
          <w:rPr>
            <w:rStyle w:val="Hyperlink"/>
          </w:rPr>
          <w:t xml:space="preserve">ამ დოკუმენტის ჩამოტვირთვა PDF ფორმატში</w:t>
        </w:r>
      </w:hyperlink>
    </w:p>
    <w:bookmarkEnd w:id="44"/>
    <w:sectPr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9"/>
        <w:szCs w:val="29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43"/>
      <w:szCs w:val="43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6"/>
      <w:szCs w:val="36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4"/>
      <w:szCs w:val="24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4"/>
      <w:szCs w:val="24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8"/>
      <w:szCs w:val="38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34"/>
      <w:szCs w:val="34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9"/>
      <w:szCs w:val="29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9"/>
      <w:szCs w:val="29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9"/>
      <w:szCs w:val="29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9"/>
      <w:szCs w:val="29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9"/>
      <w:szCs w:val="29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9"/>
      <w:szCs w:val="29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9"/>
      <w:szCs w:val="29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6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9" Type="http://schemas.openxmlformats.org/officeDocument/2006/relationships/hyperlink" Target="/ka/documents/lbt-reg-001/" TargetMode="External"/><Relationship Id="rId22" Type="http://schemas.openxmlformats.org/officeDocument/2006/relationships/hyperlink" Target="/ka/resources/policie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33/" TargetMode="External"/><Relationship Id="rId23" Type="http://schemas.openxmlformats.org/officeDocument/2006/relationships/hyperlink" Target="/ka/standards/standard-33/#c33-1" TargetMode="External"/><Relationship Id="rId43" Type="http://schemas.openxmlformats.org/officeDocument/2006/relationships/hyperlink" Target="https://france-asf.fr/wp-content/uploads/2026/10/lbt-pol-001.pdf" TargetMode="External"/></Relationships>
</file>

<file path=word/_rels/footnotes.xml.rels><?xml version='1.0' encoding='UTF-8' standalone='yes'?>
<Relationships xmlns="http://schemas.openxmlformats.org/package/2006/relationships"><Relationship Id="rId39" Type="http://schemas.openxmlformats.org/officeDocument/2006/relationships/hyperlink" Target="/documents/lbt-reg-001/" TargetMode="External"/><Relationship Id="rId22" Type="http://schemas.openxmlformats.org/officeDocument/2006/relationships/hyperlink" Target="/resources/policie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33/" TargetMode="External"/><Relationship Id="rId23" Type="http://schemas.openxmlformats.org/officeDocument/2006/relationships/hyperlink" Target="/standards/standard-33/#c33-1" TargetMode="External"/><Relationship Id="rId43" Type="http://schemas.openxmlformats.org/officeDocument/2006/relationships/hyperlink" Target="https://france-asf.fr/wp-content/uploads/2026/10/lbt-pol-00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LBT-POL-001: Equipment calibration and traceability</dc:title>
  <dc:creator/>
  <cp:keywords/>
  <dcterms:created xsi:type="dcterms:W3CDTF">2026-10-28T21:33:20Z</dcterms:created>
  <dcterms:modified xsi:type="dcterms:W3CDTF">2026-10-28T21:33:20Z</dcterms:modified>
  <dc:language>ka-GE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