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LBT-REG-002: მეთოდის ვალიდაციის რეგისტრი</w:t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ორგანიზაციის დასახელება</w:t>
            </w:r>
          </w:p>
          <w:p>
            <w:pPr>
              <w:pStyle w:val="Compact"/>
              <w:jc w:val="left"/>
            </w:pPr>
            <w:r>
              <w:t xml:space="preserve">ობიექტი ან ერთეული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რეგისტრი</w:t>
            </w:r>
          </w:p>
          <w:p>
            <w:pPr>
              <w:pStyle w:val="Compact"/>
              <w:jc w:val="left"/>
            </w:pPr>
            <w:r>
              <w:t xml:space="preserve">მეთოდის ვალიდაციის რეგისტრი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LBT-REG-002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ცარიელი ფორმა, შესავსებად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სტანდარტები › სტანდარტი 33 › რეგისტრები და ჟურნალები</w:t>
        </w:r>
      </w:hyperlink>
      <w:r>
        <w:t xml:space="preserve"/>
      </w:r>
      <w:r>
        <w:t xml:space="preserve"/>
      </w:r>
      <w:r>
        <w:t xml:space="preserve"/>
      </w:r>
      <w:hyperlink r:id="rId21">
        <w:r>
          <w:rPr>
            <w:rStyle w:val="Hyperlink"/>
          </w:rPr>
          <w:t xml:space="preserve"/>
        </w:r>
      </w:hyperlink>
      <w:r>
        <w:t xml:space="preserve"/>
      </w:r>
      <w:r>
        <w:t xml:space="preserve"/>
      </w:r>
      <w:r>
        <w:t xml:space="preserve"/>
      </w:r>
      <w:hyperlink r:id="rId22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რეგისტრი · LBT-REG-002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33.3</w:t>
      </w:r>
      <w:r>
        <w:t xml:space="preserve"/>
      </w:r>
      <w:hyperlink r:id="rId23">
        <w:r>
          <w:rPr>
            <w:rStyle w:val="Hyperlink"/>
          </w:rPr>
          <w:t xml:space="preserve"/>
        </w:r>
      </w:hyperlink>
    </w:p>
    <w:bookmarkStart w:id="24" w:name="purpose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ფიქსირებს ყოველ მეთოდის ვალიდაციას და ყოველ ცვლილებას, რომელმაც ხელახალი ვალიდაცია გამოიწვია, პირველი პაციენტის გამოყენების თარიღთან ერთად.</w:t>
      </w:r>
    </w:p>
    <w:bookmarkEnd w:id="24"/>
    <w:bookmarkStart w:id="25" w:name="how-to-complete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შეიტანეთ ყოველი ვალიდაცია და მისი ანგარიში.</w:t>
      </w:r>
    </w:p>
    <w:p>
      <w:pPr>
        <w:numPr>
          <w:ilvl w:val="0"/>
          <w:numId w:val="1001"/>
        </w:numPr>
        <w:pStyle w:val="Compact"/>
      </w:pPr>
      <w:r>
        <w:t xml:space="preserve">შეიტანეთ ყოველი ცვლილება და მისი ხელახალი ვალიდაცია.</w:t>
      </w:r>
    </w:p>
    <w:p>
      <w:pPr>
        <w:numPr>
          <w:ilvl w:val="0"/>
          <w:numId w:val="1001"/>
        </w:numPr>
        <w:pStyle w:val="Compact"/>
      </w:pPr>
      <w:r>
        <w:t xml:space="preserve">ჩაწერეთ პირველი პაციენტის გამოყენების თარიღი.</w:t>
      </w:r>
    </w:p>
    <w:bookmarkEnd w:id="25"/>
    <w:bookmarkStart w:id="26" w:name="checks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მეთოდი და ვალიდაციის ანგარიშის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განმეორებადობა (precision), სიზუსტე (accuracy), ანგარიშგებადი დიაპაზონი და საცნობარო ინტერვალი, რომლებიც დაფარულია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ცვლილებისა და ხელახალი ვალიდაციის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პირველი პაციენტის გამოყენების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evidence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ISO 15189:2022 Medical laboratories: requirements for quality and competence, ISO 9001:2015 მომწოდებლის კონტროლისთვის და Global Patient Safety Action Plan 2021–2030 კრიტიკული შედეგებისთვის.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change-history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დაყენებულია ექსპერტთა კომიტეტის დამტკიცება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references"/>
    <w:p>
      <w:pPr>
        <w:pStyle w:val="Heading2"/>
      </w:pPr>
      <w:r>
        <w:t xml:space="preserve">მითითებები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 (E-006)</w:t>
      </w:r>
      <w:r>
        <w:t xml:space="preserve"/>
      </w:r>
      <w:r>
        <w:t xml:space="preserve"/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 (E-009)</w:t>
      </w:r>
      <w:r>
        <w:t xml:space="preserve"/>
      </w:r>
      <w:r>
        <w:t xml:space="preserve"/>
      </w:r>
    </w:p>
    <w:p>
      <w:pPr>
        <w:pStyle w:val="FirstParagraph"/>
      </w:pPr>
      <w:hyperlink r:id="rId29">
        <w:r>
          <w:rPr>
            <w:rStyle w:val="Hyperlink"/>
          </w:rPr>
          <w:t xml:space="preserve">ამ დოკუმენტის ჩამოტვირთვა PDF ფორმატში</w:t>
        </w:r>
      </w:hyperlink>
    </w:p>
    <w:bookmarkEnd w:id="30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9"/>
        <w:szCs w:val="29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43"/>
      <w:szCs w:val="43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6"/>
      <w:szCs w:val="36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4"/>
      <w:szCs w:val="24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4"/>
      <w:szCs w:val="24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8"/>
      <w:szCs w:val="38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4"/>
      <w:szCs w:val="34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9"/>
      <w:szCs w:val="29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9"/>
      <w:szCs w:val="29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9"/>
      <w:szCs w:val="29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9"/>
      <w:szCs w:val="29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9"/>
      <w:szCs w:val="29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9"/>
      <w:szCs w:val="29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9"/>
      <w:szCs w:val="29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6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ka/resources/register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33/" TargetMode="External"/><Relationship Id="rId23" Type="http://schemas.openxmlformats.org/officeDocument/2006/relationships/hyperlink" Target="/ka/standards/standard-33/#c33-3" TargetMode="External"/><Relationship Id="rId29" Type="http://schemas.openxmlformats.org/officeDocument/2006/relationships/hyperlink" Target="https://france-asf.fr/wp-content/uploads/2026/10/lbt-reg-002.pdf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register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33/" TargetMode="External"/><Relationship Id="rId23" Type="http://schemas.openxmlformats.org/officeDocument/2006/relationships/hyperlink" Target="/standards/standard-33/#c33-3" TargetMode="External"/><Relationship Id="rId29" Type="http://schemas.openxmlformats.org/officeDocument/2006/relationships/hyperlink" Target="https://france-asf.fr/wp-content/uploads/2026/10/lbt-reg-00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LBT-REG-002: Method validation register</dc:title>
  <dc:creator/>
  <cp:keywords/>
  <dcterms:created xsi:type="dcterms:W3CDTF">2026-10-28T21:33:19Z</dcterms:created>
  <dcterms:modified xsi:type="dcterms:W3CDTF">2026-10-28T21:33:19Z</dcterms:modified>
  <dc:language>ka-GE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