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LBT-SOP-003: ნიმუშის მიღება და უარყოფა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 xml:space="preserve">ნიმუშის მიღება და უარყოფა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LBT-SOP-003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შესავსებად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33 › სტანდარტული საოპერაციო პროცედურები (SOP)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სტანდარტული საოპერაციო პროცედურა (SOP) · LBT-SOP-003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33.7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ნიმუში მიღებისას მოწმდება მიღების კრიტერიუმების მიმართ (LBT-REG-005).</w:t>
      </w:r>
    </w:p>
    <w:p>
      <w:pPr>
        <w:numPr>
          <w:ilvl w:val="0"/>
          <w:numId w:val="1001"/>
        </w:numPr>
        <w:pStyle w:val="Compact"/>
      </w:pPr>
      <w:r>
        <w:t xml:space="preserve">ვალიდური იდენტიფიკატორის გარეშე ნიმუში უარყოფილია.</w:t>
      </w:r>
    </w:p>
    <w:p>
      <w:pPr>
        <w:numPr>
          <w:ilvl w:val="0"/>
          <w:numId w:val="1001"/>
        </w:numPr>
        <w:pStyle w:val="Compact"/>
      </w:pPr>
      <w:r>
        <w:t xml:space="preserve">ყოველი უარყოფა ჩაიწერება მიზეზითა და მოთხოვნის ავტორისთვის მიცემული შეტყობინებით.</w:t>
      </w:r>
    </w:p>
    <w:p>
      <w:pPr>
        <w:numPr>
          <w:ilvl w:val="0"/>
          <w:numId w:val="1001"/>
        </w:numPr>
        <w:pStyle w:val="Compact"/>
      </w:pPr>
      <w:r>
        <w:t xml:space="preserve">მიღებული ნიმუშები ჟურნალში შედის მათი იდენტიფიკატორებით.</w:t>
      </w:r>
    </w:p>
    <w:p>
      <w:pPr>
        <w:numPr>
          <w:ilvl w:val="0"/>
          <w:numId w:val="1001"/>
        </w:numPr>
        <w:pStyle w:val="Compact"/>
      </w:pPr>
      <w:r>
        <w:t xml:space="preserve">გააჩერეთ და დაუყოვნებლივ მოითხოვეთ დახმარება, თუ: ნიმუში ვალიდური პაციენტის იდენტიფიკატორის გარეშე მიიღება და ტესტირდება.</w:t>
      </w:r>
    </w:p>
    <w:bookmarkStart w:id="24" w:name="purpose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უზრუნველყოფა, რომ ტესტირდება მხოლოდ განსაზღვრულ კრიტერიუმებს დამაკმაყოფილებელი ნიმუშები და ყოველი უარყოფა აიხსნება (33.7).</w:t>
      </w:r>
    </w:p>
    <w:bookmarkEnd w:id="24"/>
    <w:bookmarkStart w:id="25" w:name="scope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და დამხმარე პერსონალი საავადმყოფოში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სამედიცინო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მე-15 განყოფილებაში ჩამოთვლილი სხვა დოკუმენტით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პასუხისმგებელია უბანზე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ნიმუში, რომელიც ჰემოლიზირებულია, შედედებულია ან ძალიან მცირეა, შეიძლება მისცეს არასწორი შედეგი. წერილობითი უარყოფის კრიტერიუმები, რომლებიც ყველასთვის ერთნაირად გამოიყენება, აჩერებს მის ტესტირებას.</w:t>
      </w:r>
    </w:p>
    <w:bookmarkEnd w:id="27"/>
    <w:bookmarkStart w:id="28" w:name="responsibilities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ლაბორატორიის მიმღები პერსონალი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ამოწმებს, იღებს, იწერს ან უარყოფს ყოველ ნიმუშს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უფროსი მეცნიერი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უფროსი მეცნიერი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აქტუალურად ინახავს მიღების კრიტერიუმებს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ლაბორატორიის დირექტორი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ელემენტი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გააჩერეთ და მოითხოვეთ დახმარება, თუ პაციენტი უშუალო საფრთხეშია. არ გააჭიანუროთ გადაუდებელი მოვლა დოკუმენტაციის შევსებით.</w:t>
      </w:r>
    </w:p>
    <w:bookmarkEnd w:id="30"/>
    <w:bookmarkStart w:id="31" w:name="before-you-start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31"/>
    <w:bookmarkStart w:id="32" w:name="procedure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შემოწმება მიღებისას.</w:t>
      </w:r>
    </w:p>
    <w:p>
      <w:pPr>
        <w:numPr>
          <w:ilvl w:val="0"/>
          <w:numId w:val="1004"/>
        </w:numPr>
        <w:pStyle w:val="Compact"/>
      </w:pPr>
      <w:r>
        <w:t xml:space="preserve">შეამოწმეთ იდენტიფიკატორი, ნიმუშის ტიპი, კონტეინერი და დრო კრიტერიუმებთან მიმართებით.</w:t>
      </w:r>
    </w:p>
    <w:p>
      <w:pPr>
        <w:pStyle w:val="FirstParagraph"/>
      </w:pPr>
      <w:r>
        <w:rPr>
          <w:bCs/>
          <w:b/>
        </w:rPr>
        <w:t xml:space="preserve">მთავარი პუნქტი: შემოწმებულია.</w:t>
      </w:r>
      <w:r>
        <w:t xml:space="preserve"/>
      </w:r>
      <w:r>
        <w:t xml:space="preserve"/>
      </w:r>
    </w:p>
    <w:p>
      <w:pPr>
        <w:pStyle w:val="BodyText"/>
      </w:pPr>
      <w:r>
        <w:t xml:space="preserve">ნაბიჯი 2. მიღება ან უარყოფა.</w:t>
      </w:r>
    </w:p>
    <w:p>
      <w:pPr>
        <w:numPr>
          <w:ilvl w:val="0"/>
          <w:numId w:val="1005"/>
        </w:numPr>
        <w:pStyle w:val="Compact"/>
      </w:pPr>
      <w:r>
        <w:t xml:space="preserve">მიიღეთ და ჩაწერეთ ნიმუში, ან უარყავით მიზეზის მითითებით.</w:t>
      </w:r>
    </w:p>
    <w:p>
      <w:pPr>
        <w:pStyle w:val="FirstParagraph"/>
      </w:pPr>
      <w:r>
        <w:rPr>
          <w:bCs/>
          <w:b/>
        </w:rPr>
        <w:t xml:space="preserve">მთავარი პუნქტი: მიღებულია ან უარყოფილია.</w:t>
      </w:r>
      <w:r>
        <w:t xml:space="preserve"/>
      </w:r>
      <w:r>
        <w:t xml:space="preserve"/>
      </w:r>
    </w:p>
    <w:p>
      <w:pPr>
        <w:pStyle w:val="BodyText"/>
      </w:pPr>
      <w:r>
        <w:t xml:space="preserve">ნაბიჯი 3. შეტყობინება.</w:t>
      </w:r>
    </w:p>
    <w:p>
      <w:pPr>
        <w:numPr>
          <w:ilvl w:val="0"/>
          <w:numId w:val="1006"/>
        </w:numPr>
        <w:pStyle w:val="Compact"/>
      </w:pPr>
      <w:r>
        <w:t xml:space="preserve">აცნობეთ მოთხოვნის ავტორს ნებისმიერი უარყოფის შესახებ და ჩაწერეთ შეტყობინება (LBT-REG-005).</w:t>
      </w:r>
    </w:p>
    <w:p>
      <w:pPr>
        <w:pStyle w:val="FirstParagraph"/>
      </w:pPr>
      <w:r>
        <w:rPr>
          <w:bCs/>
          <w:b/>
        </w:rPr>
        <w:t xml:space="preserve">მთავარი პუნქტი: შეტყობინებულია.</w:t>
      </w:r>
      <w:r>
        <w:t xml:space="preserve"/>
      </w:r>
      <w:r>
        <w:t xml:space="preserve"/>
      </w:r>
    </w:p>
    <w:bookmarkEnd w:id="32"/>
    <w:bookmarkStart w:id="33" w:name="decision-points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კონტაქტი გადაუდებელი ზარისთვის, რომელიც უბნის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ეგზავნება მოვალე კლინიკურ ლიდერს,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უარყოფები მიზეზითა და შეტყობინებით ჩაწერილი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უფროსი მეცნიერი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ლაბორატორიის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ივარჯიშებს ამ დოკუმენტში დაწყებისას და ყოველ წელს ახლდება, ჩაწერილი კომპეტენციის შემოწმებით.</w:t>
      </w:r>
    </w:p>
    <w:bookmarkEnd w:id="38"/>
    <w:bookmarkStart w:id="40" w:name="related-documents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LBT-REG-005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ნიმუშის მიღებისა და უარყოფის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evidence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ISO 15189:2022 Medical laboratories: requirements for quality and competence, ISO 9001:2015 მომწოდებლის კონტროლისთვის და Global Patient Safety Action Plan 2021–2030 კრიტიკული შედეგებისთვის.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change-history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დაყენებულია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4" w:name="references"/>
    <w:p>
      <w:pPr>
        <w:pStyle w:val="Heading2"/>
      </w:pPr>
      <w:r>
        <w:t xml:space="preserve">მითითებები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 (E-009)</w:t>
      </w:r>
      <w:r>
        <w:t xml:space="preserve"/>
      </w:r>
      <w:r>
        <w:t xml:space="preserve"/>
      </w:r>
    </w:p>
    <w:p>
      <w:pPr>
        <w:pStyle w:val="FirstParagraph"/>
      </w:pPr>
      <w:hyperlink r:id="rId43">
        <w:r>
          <w:rPr>
            <w:rStyle w:val="Hyperlink"/>
          </w:rPr>
          <w:t xml:space="preserve">ამ დოკუმენტის ჩამოტვირთვა PDF ფორმატში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9"/>
        <w:szCs w:val="29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43"/>
      <w:szCs w:val="43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6"/>
      <w:szCs w:val="36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4"/>
      <w:szCs w:val="24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4"/>
      <w:szCs w:val="24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8"/>
      <w:szCs w:val="38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4"/>
      <w:szCs w:val="34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9"/>
      <w:szCs w:val="29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9"/>
      <w:szCs w:val="29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9"/>
      <w:szCs w:val="29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6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ka/documents/lbt-reg-005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3/" TargetMode="External"/><Relationship Id="rId23" Type="http://schemas.openxmlformats.org/officeDocument/2006/relationships/hyperlink" Target="/ka/standards/standard-33/#c33-7" TargetMode="External"/><Relationship Id="rId43" Type="http://schemas.openxmlformats.org/officeDocument/2006/relationships/hyperlink" Target="https://france-asf.fr/wp-content/uploads/2026/10/lbt-sop-003.pdf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lbt-reg-005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3/" TargetMode="External"/><Relationship Id="rId23" Type="http://schemas.openxmlformats.org/officeDocument/2006/relationships/hyperlink" Target="/standards/standard-33/#c33-7" TargetMode="External"/><Relationship Id="rId43" Type="http://schemas.openxmlformats.org/officeDocument/2006/relationships/hyperlink" Target="https://france-asf.fr/wp-content/uploads/2026/10/lbt-sop-00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LBT-SOP-003: Specimen acceptance and rejection</dc:title>
  <dc:creator/>
  <cp:keywords/>
  <dcterms:created xsi:type="dcterms:W3CDTF">2026-10-28T21:33:19Z</dcterms:created>
  <dcterms:modified xsi:type="dcterms:W3CDTF">2026-10-28T21:33:19Z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