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LTC-FRM-002: წამლების შეჯერების ფორმა</w:t>
      </w:r>
    </w:p>
    <w:p>
      <w:pPr>
        <w:pStyle w:val="FirstParagraph"/>
      </w:pPr>
      <w:hyperlink r:id="rId20">
        <w:r>
          <w:rPr>
            <w:rStyle w:val="Hyperlink"/>
          </w:rPr>
          <w:t xml:space="preserve">სტანდარტები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სტანდარტი S4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ფორმები</w:t>
        </w:r>
      </w:hyperlink>
    </w:p>
    <w:p>
      <w:pPr>
        <w:pStyle w:val="BodyText"/>
      </w:pPr>
      <w:r>
        <w:t xml:space="preserve">ფორმა · LTC-FRM-002 · ვერსია 1.0 · დამტკიცებულია ASF ექსპერტთა კომიტეტის მიერ</w:t>
      </w:r>
    </w:p>
    <w:p>
      <w:pPr>
        <w:pStyle w:val="BodyText"/>
      </w:pPr>
      <w:r>
        <w:rPr>
          <w:bCs/>
          <w:b/>
        </w:rPr>
        <w:t xml:space="preserve">დაკავშირებულია:</w:t>
      </w:r>
      <w:r>
        <w:t xml:space="preserve"> </w:t>
      </w:r>
      <w:r>
        <w:t xml:space="preserve">სისტემა S4 (ხანგრძლივი მოვლა), კრიტერიუმი S4.4</w:t>
      </w:r>
    </w:p>
    <w:bookmarkStart w:id="22" w:name="მიზანი"/>
    <w:p>
      <w:pPr>
        <w:pStyle w:val="Heading2"/>
      </w:pPr>
      <w:r>
        <w:t xml:space="preserve">მიზანი</w:t>
      </w:r>
    </w:p>
    <w:p>
      <w:pPr>
        <w:pStyle w:val="FirstParagraph"/>
      </w:pPr>
      <w:r>
        <w:t xml:space="preserve">ჩაწერს თითოეულ წამალს, რომელიც შედარებულია მოვლის ცვლილებისას, ყოველ განსხვავებას და გადაწყვეტილებას.</w:t>
      </w:r>
    </w:p>
    <w:bookmarkEnd w:id="22"/>
    <w:bookmarkStart w:id="23" w:name="როგორ-შევავსოთ"/>
    <w:p>
      <w:pPr>
        <w:pStyle w:val="Heading2"/>
      </w:pPr>
      <w:r>
        <w:t xml:space="preserve">როგორ შევავსოთ</w:t>
      </w:r>
    </w:p>
    <w:p>
      <w:pPr>
        <w:numPr>
          <w:ilvl w:val="0"/>
          <w:numId w:val="1001"/>
        </w:numPr>
        <w:pStyle w:val="Compact"/>
      </w:pPr>
      <w:r>
        <w:t xml:space="preserve">შეავსეთ მიღებისას, გადაყვანისას და გაწერისას.</w:t>
      </w:r>
    </w:p>
    <w:p>
      <w:pPr>
        <w:numPr>
          <w:ilvl w:val="0"/>
          <w:numId w:val="1001"/>
        </w:numPr>
        <w:pStyle w:val="Compact"/>
      </w:pPr>
      <w:r>
        <w:t xml:space="preserve">ჩაწერეთ ყოველი განსხვავება და დანიშნულის გადაწყვეტილება.</w:t>
      </w:r>
    </w:p>
    <w:p>
      <w:pPr>
        <w:numPr>
          <w:ilvl w:val="0"/>
          <w:numId w:val="1001"/>
        </w:numPr>
        <w:pStyle w:val="Compact"/>
      </w:pPr>
      <w:r>
        <w:t xml:space="preserve">საბოლოო სია გადასცით რეზიდენტს და შემდეგ მომწოდებელს.</w:t>
      </w:r>
    </w:p>
    <w:bookmarkEnd w:id="23"/>
    <w:bookmarkStart w:id="24" w:name="ველები"/>
    <w:p>
      <w:pPr>
        <w:pStyle w:val="Heading2"/>
      </w:pPr>
      <w:r>
        <w:t xml:space="preserve">ველები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320"/>
        <w:gridCol w:w="1320"/>
        <w:gridCol w:w="1320"/>
        <w:gridCol w:w="1320"/>
        <w:gridCol w:w="1320"/>
        <w:gridCol w:w="132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წამალი და დოზა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რეზიდენტის საკუთარ სიაში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სახლის სიაში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განსხვავება (არცერთი, გამოტოვებული, შეცვლილი, დამატებითი)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დანიშნულის გადაწყვეტილება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 და ხელმოწერა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მტკიცებულებები"/>
    <w:p>
      <w:pPr>
        <w:pStyle w:val="Heading2"/>
      </w:pPr>
      <w:r>
        <w:t xml:space="preserve">მტკიცებულებები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მითითება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შენიშვნა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დაფუძნებულია WHO High 5s medication reconciliation standard operating protocol-ზე (2014).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ადაპტირებული.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ექსპერტთა კომიტეტის კონსენსუსი.</w:t>
            </w:r>
          </w:p>
        </w:tc>
      </w:tr>
    </w:tbl>
    <w:bookmarkEnd w:id="25"/>
    <w:bookmarkStart w:id="26" w:name="ცვლილებების-ისტორია"/>
    <w:p>
      <w:pPr>
        <w:pStyle w:val="Heading2"/>
      </w:pPr>
      <w:r>
        <w:t xml:space="preserve">ცვლილებების ისტორია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ვერსია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თარიღი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რა შეიცვალა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დამტკიცება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  <w:jc w:val="left"/>
            </w:pPr>
            <w:r>
              <w:t xml:space="preserve">პირველი ვერსია</w:t>
            </w:r>
          </w:p>
        </w:tc>
        <w:tc>
          <w:tcPr/>
          <w:p>
            <w:pPr>
              <w:pStyle w:val="Compact"/>
            </w:pPr>
          </w:p>
        </w:tc>
      </w:tr>
    </w:tbl>
    <w:bookmarkEnd w:id="26"/>
    <w:bookmarkStart w:id="27" w:name="ამ-დოკუმენტის-ელექტრონული-სწავლება"/>
    <w:p>
      <w:pPr>
        <w:pStyle w:val="Heading2"/>
      </w:pPr>
      <w:r>
        <w:t xml:space="preserve">ამ დოკუმენტის ელექტრონული სწავლება</w:t>
      </w:r>
    </w:p>
    <w:p>
      <w:pPr>
        <w:pStyle w:val="FirstParagraph"/>
      </w:pPr>
      <w:r>
        <w:t xml:space="preserve">ამ დოკუმენტთან ჯერ არ არის დაკავშირებული ელექტრონული სწავლების კურსი.</w:t>
      </w:r>
    </w:p>
    <w:bookmarkEnd w:id="27"/>
    <w:bookmarkStart w:id="29" w:name="წყაროები"/>
    <w:p>
      <w:pPr>
        <w:pStyle w:val="Heading2"/>
      </w:pPr>
      <w:r>
        <w:t xml:space="preserve">წყაროები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r>
        <w:t xml:space="preserve">დაკავშირებული სტანდარტი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სტანდარტი 28: ხანგრძლივი მოვლა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8" Target="/ka/standards/standard-28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/ka/resources/forms/" TargetMode="External" /><Relationship Type="http://schemas.openxmlformats.org/officeDocument/2006/relationships/hyperlink" Id="rId20" Target="/ka/standards/" TargetMode="External" /><Relationship Type="http://schemas.openxmlformats.org/officeDocument/2006/relationships/hyperlink" Id="rId28" Target="/ka/standards/standard-28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LTC-FRM-002: წამლების შეჯერების ფორმა</dc:title>
  <dc:creator/>
  <cp:keywords/>
  <dcterms:created xsi:type="dcterms:W3CDTF">2026-11-07T01:57:58Z</dcterms:created>
  <dcterms:modified xsi:type="dcterms:W3CDTF">2026-11-07T01:57:58Z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