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S4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რეესტრები და ჟურნალები</w:t>
        </w:r>
      </w:hyperlink>
    </w:p>
    <w:p>
      <w:pPr>
        <w:pStyle w:val="BodyText"/>
      </w:pPr>
      <w:r>
        <w:t xml:space="preserve">რეესტრი · LTC-REG-001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S4 (ხანგრძლივი მოვლა), კრიტერიუმი S4.1</w:t>
      </w:r>
    </w:p>
    <w:bookmarkStart w:id="22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ჩამოთვლის ყოველ რისკის ქვეშ მყოფ მაცხოვრებელს, არსებულ ზომას და შემდეგი სკრინინგის თარიღს.</w:t>
      </w:r>
    </w:p>
    <w:bookmarkEnd w:id="22"/>
    <w:bookmarkStart w:id="23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დაამატეთ ყოველი რისკის ქვეშ მყოფი მაცხოვრებელი სკრინინგისას.</w:t>
      </w:r>
    </w:p>
    <w:p>
      <w:pPr>
        <w:numPr>
          <w:ilvl w:val="0"/>
          <w:numId w:val="1001"/>
        </w:numPr>
        <w:pStyle w:val="Compact"/>
      </w:pPr>
      <w:r>
        <w:t xml:space="preserve">ყოველი დაცემა, კანის ცვლილება და წონის ცვლილება იმავე დღეს აღრიცხეთ.</w:t>
      </w:r>
    </w:p>
    <w:p>
      <w:pPr>
        <w:numPr>
          <w:ilvl w:val="0"/>
          <w:numId w:val="1001"/>
        </w:numPr>
        <w:pStyle w:val="Compact"/>
      </w:pPr>
      <w:r>
        <w:t xml:space="preserve">განიხილეთ სია ყოველი ცვლის გადაბარებისას.</w:t>
      </w:r>
    </w:p>
    <w:bookmarkEnd w:id="23"/>
    <w:bookmarkStart w:id="24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მაცხოვრებლის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რისკი (დაცემა, წნევა, კვება)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არსებული 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ბოლო სკრინინგი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შემდეგი სკრინინგი ვადაა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მოვლენა აღირიცხა (თარიღი)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5"/>
    <w:bookmarkStart w:id="26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26"/>
    <w:bookmarkStart w:id="2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bookmarkEnd w:id="27"/>
    <w:bookmarkStart w:id="31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8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სტანდარტი 28: ხანგრძლივი მოვლა</w:t>
        </w:r>
      </w:hyperlink>
    </w:p>
    <w:p>
      <w:pPr>
        <w:pStyle w:val="FirstParagraph"/>
      </w:pPr>
      <w:hyperlink r:id="rId30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9" Target="https://france-asf.fr/ka/standards/standard-28/" TargetMode="External" /><Relationship Type="http://schemas.openxmlformats.org/officeDocument/2006/relationships/hyperlink" Id="rId30" Target="https://france-asf.fr/wp-content/uploads/2026/10/ltc-reg-001-form-1.docx" TargetMode="External" /><Relationship Type="http://schemas.openxmlformats.org/officeDocument/2006/relationships/hyperlink" Id="rId28" Target="https://france-asf.fr/wp-content/uploads/2026/10/ltc-reg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9" Target="https://france-asf.fr/ka/standards/standard-28/" TargetMode="External" /><Relationship Type="http://schemas.openxmlformats.org/officeDocument/2006/relationships/hyperlink" Id="rId30" Target="https://france-asf.fr/wp-content/uploads/2026/10/ltc-reg-001-form-1.docx" TargetMode="External" /><Relationship Type="http://schemas.openxmlformats.org/officeDocument/2006/relationships/hyperlink" Id="rId28" Target="https://france-asf.fr/wp-content/uploads/2026/10/ltc-reg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2026-11-07T01:44:38Z</dcterms:created>
  <dcterms:modified xsi:type="dcterms:W3CDTF">2026-11-07T01:44:38Z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