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608a4ab86b9aa6cd6a73670db623e97d47239a"/>
    <w:p>
      <w:pPr>
        <w:pStyle w:val="Heading1"/>
      </w:pPr>
      <w:r>
        <w:t xml:space="preserve">LTC-REG-002: ფუნქციური მდგომარეობის გაზომვის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LTC-REG-002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28.4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ყოველი მაცხოვრებლის ყოველ ვალიდირებულ ფუნქციურ გაზომვას, ინტერვალს და ნებისმიერ გაუარესებას, რომელმაც განხილვა გამოიწვია.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ყოველ ინტერვალში გაზომეთ ფუნქცია ვალიდირებული ინსტრუმენტით.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ქულა და შეადარეთ ბოლო ქულას.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ნებისმიერი გაუარესება და მოვლის გეგმის განხილვა, რომელიც გამოიწვია.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მაცხოვრებელი (ID) და გამოყენებული ინსტრუმენტი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გაზომვის თარიღი და ქულა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გაუარესება ბოლო ქულასთან შედარებით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მოვლის გეგმის განხილვა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გლობალურ სტრატეგიასა და სამოქმედო გეგმას დაბერებისა და ჯანმრთელობის შესახებ 2016-2030, WHO-ს Integrated care for older people (ICOPE) სახელმძღვანელოს (2017) და WHO-ს მითითებებს ციფრული და AI მმართველობის შესახებ.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Rehabilitation and Recovery Programs in Fitness and Wellness</w:t>
      </w:r>
      <w:r>
        <w:t xml:space="preserve"> </w:t>
      </w:r>
      <w:r>
        <w:t xml:space="preserve">(FIT-10)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8/" TargetMode="External"/><Relationship Id="rId23" Type="http://schemas.openxmlformats.org/officeDocument/2006/relationships/hyperlink" Target="/ka/standards/standard-28/#c28-4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8/" TargetMode="External"/><Relationship Id="rId23" Type="http://schemas.openxmlformats.org/officeDocument/2006/relationships/hyperlink" Target="/ka/standards/standard-28/#c28-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2026-11-07T01:17:03Z</dcterms:created>
  <dcterms:modified xsi:type="dcterms:W3CDTF">2026-11-07T01:17:03Z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