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LTC-SOP-001: დაცემის, ზეწოლითი დაზიანებისა და კვებითი რისკის სკრინინგი</w:t>
      </w:r>
    </w:p>
    <w:p>
      <w:pPr>
        <w:pStyle w:val="FirstParagraph"/>
      </w:pPr>
      <w:hyperlink r:id="rId20">
        <w:r>
          <w:rPr>
            <w:rStyle w:val="Hyperlink"/>
          </w:rPr>
          <w:t xml:space="preserve">სტანდარტები</w:t>
        </w:r>
      </w:hyperlink>
      <w:r>
        <w:t xml:space="preserve"> </w:t>
      </w:r>
      <w:r>
        <w:t xml:space="preserve">›</w:t>
      </w:r>
      <w:r>
        <w:t xml:space="preserve"> </w:t>
      </w:r>
      <w:r>
        <w:t xml:space="preserve">სტანდარტი S4</w:t>
      </w:r>
      <w:r>
        <w:t xml:space="preserve"> </w:t>
      </w:r>
      <w:r>
        <w:t xml:space="preserve">›</w:t>
      </w:r>
      <w:r>
        <w:t xml:space="preserve"> </w:t>
      </w:r>
      <w:hyperlink r:id="rId21">
        <w:r>
          <w:rPr>
            <w:rStyle w:val="Hyperlink"/>
          </w:rPr>
          <w:t xml:space="preserve">სტანდარტული ოპერაციული პროცედურები (SOP)</w:t>
        </w:r>
      </w:hyperlink>
    </w:p>
    <w:p>
      <w:pPr>
        <w:pStyle w:val="BodyText"/>
      </w:pPr>
      <w:r>
        <w:t xml:space="preserve">სტანდარტული საოპერაციო პროცედურა (SOP) · LTC-SOP-001 · ვერსია 1.0 · დამტკიცებულია ASF ექსპერტთა კომიტეტის მიერ</w:t>
      </w:r>
    </w:p>
    <w:p>
      <w:pPr>
        <w:pStyle w:val="BodyText"/>
      </w:pPr>
      <w:r>
        <w:rPr>
          <w:bCs/>
          <w:b/>
        </w:rPr>
        <w:t xml:space="preserve">დაკავშირებულია:</w:t>
      </w:r>
      <w:r>
        <w:t xml:space="preserve"> </w:t>
      </w:r>
      <w:r>
        <w:t xml:space="preserve">სისტემა S4 (ხანგრძლივი მოვლა), კრიტერიუმი S4.1</w:t>
      </w:r>
    </w:p>
    <w:p>
      <w:pPr>
        <w:pStyle w:val="BodyText"/>
      </w:pPr>
      <w:r>
        <w:t xml:space="preserve">მოკლედ</w:t>
      </w:r>
    </w:p>
    <w:p>
      <w:pPr>
        <w:numPr>
          <w:ilvl w:val="0"/>
          <w:numId w:val="1001"/>
        </w:numPr>
        <w:pStyle w:val="Compact"/>
      </w:pPr>
      <w:r>
        <w:t xml:space="preserve">ყოველი რეზიდენტი მიღებისას გაიარეთ სკრინინგი დაცემის, ზეწოლითი დაზიანებისა და კვებითი რისკისთვის.</w:t>
      </w:r>
    </w:p>
    <w:p>
      <w:pPr>
        <w:numPr>
          <w:ilvl w:val="0"/>
          <w:numId w:val="1001"/>
        </w:numPr>
        <w:pStyle w:val="Compact"/>
      </w:pPr>
      <w:r>
        <w:t xml:space="preserve">სკრინინგი გაიმეორეთ ყოველი რისკის დონისთვის დადგენილი გრაფიკით და ნებისმიერი დაცემის, კანის ცვლილების ან წონის დაკლების შემდეგ.</w:t>
      </w:r>
    </w:p>
    <w:p>
      <w:pPr>
        <w:numPr>
          <w:ilvl w:val="0"/>
          <w:numId w:val="1001"/>
        </w:numPr>
        <w:pStyle w:val="Compact"/>
      </w:pPr>
      <w:r>
        <w:t xml:space="preserve">ყოველი რისკის ქვეშ მყოფი რეზიდენტისთვის დააწესეთ წერილობითი ზომა.</w:t>
      </w:r>
    </w:p>
    <w:p>
      <w:pPr>
        <w:numPr>
          <w:ilvl w:val="0"/>
          <w:numId w:val="1001"/>
        </w:numPr>
        <w:pStyle w:val="Compact"/>
      </w:pPr>
      <w:r>
        <w:t xml:space="preserve">ზომები გადახედეთ ყოველ სკრინინგზე.</w:t>
      </w:r>
    </w:p>
    <w:p>
      <w:pPr>
        <w:numPr>
          <w:ilvl w:val="0"/>
          <w:numId w:val="1001"/>
        </w:numPr>
        <w:pStyle w:val="Compact"/>
      </w:pPr>
      <w:r>
        <w:t xml:space="preserve">გაჩერდით და მაშინვე მოითხოვეთ დახმარება, თუ: რისკის ქვეშ მყოფ რეზიდენტს ჩანაწერში არ აქვს სკრინინგი, ან ცნობილი რისკისთვის არ არის დაწესებული ზომა.</w:t>
      </w:r>
    </w:p>
    <w:bookmarkStart w:id="22" w:name="მიზანი"/>
    <w:p>
      <w:pPr>
        <w:pStyle w:val="Heading2"/>
      </w:pPr>
      <w:r>
        <w:t xml:space="preserve">1. მიზანი</w:t>
      </w:r>
    </w:p>
    <w:p>
      <w:pPr>
        <w:pStyle w:val="FirstParagraph"/>
      </w:pPr>
      <w:r>
        <w:t xml:space="preserve">იმისთვის, რომ დაცემის, ზეწოლითი დაზიანებისა და მალნუტრიციის რისკის მქონე რეზიდენტები ადრე გამოვლინდეს და ზიანის დადგომამდე იმოქმედოთ (S4.1).</w:t>
      </w:r>
    </w:p>
    <w:bookmarkEnd w:id="22"/>
    <w:bookmarkStart w:id="23" w:name="სფერო"/>
    <w:p>
      <w:pPr>
        <w:pStyle w:val="Heading2"/>
      </w:pPr>
      <w:r>
        <w:t xml:space="preserve">2. სფერო</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ვრცელდება</w:t>
            </w:r>
          </w:p>
        </w:tc>
        <w:tc>
          <w:tcPr/>
          <w:p>
            <w:pPr>
              <w:pStyle w:val="Compact"/>
              <w:jc w:val="left"/>
            </w:pPr>
            <w:r>
              <w:t xml:space="preserve">საავადმყოფოს კლინიკური და დამხმარე პერსონალი</w:t>
            </w:r>
          </w:p>
        </w:tc>
      </w:tr>
      <w:tr>
        <w:tc>
          <w:tcPr/>
          <w:p>
            <w:pPr>
              <w:pStyle w:val="Compact"/>
              <w:jc w:val="left"/>
            </w:pPr>
            <w:r>
              <w:t xml:space="preserve">ადგილმდებარეობა</w:t>
            </w:r>
          </w:p>
        </w:tc>
        <w:tc>
          <w:tcPr/>
          <w:p>
            <w:pPr>
              <w:pStyle w:val="Compact"/>
              <w:jc w:val="left"/>
            </w:pPr>
            <w:r>
              <w:t xml:space="preserve">დაწესებულების ყველა განყოფილება, კლინიკა და დეპარტამენტი</w:t>
            </w:r>
          </w:p>
        </w:tc>
      </w:tr>
      <w:tr>
        <w:tc>
          <w:tcPr/>
          <w:p>
            <w:pPr>
              <w:pStyle w:val="Compact"/>
              <w:jc w:val="left"/>
            </w:pPr>
            <w:r>
              <w:t xml:space="preserve">როდის</w:t>
            </w:r>
          </w:p>
        </w:tc>
        <w:tc>
          <w:tcPr/>
          <w:p>
            <w:pPr>
              <w:pStyle w:val="Compact"/>
              <w:jc w:val="left"/>
            </w:pPr>
            <w:r>
              <w:t xml:space="preserve">ყოველ შემთხვევაში, როცა აღწერილი საქმიანობა სრულდება</w:t>
            </w:r>
          </w:p>
        </w:tc>
      </w:tr>
      <w:tr>
        <w:tc>
          <w:tcPr/>
          <w:p>
            <w:pPr>
              <w:pStyle w:val="Compact"/>
              <w:jc w:val="left"/>
            </w:pPr>
            <w:r>
              <w:t xml:space="preserve">არ ვრცელდება</w:t>
            </w:r>
          </w:p>
        </w:tc>
        <w:tc>
          <w:tcPr/>
          <w:p>
            <w:pPr>
              <w:pStyle w:val="Compact"/>
              <w:jc w:val="left"/>
            </w:pPr>
            <w:r>
              <w:t xml:space="preserve">საქმიანობა, რომელსაც მოიცავს სხვა დოკუმენტი, ჩამოთვლილი განყოფილება 15-ში</w:t>
            </w:r>
          </w:p>
        </w:tc>
      </w:tr>
    </w:tbl>
    <w:bookmarkEnd w:id="23"/>
    <w:bookmarkStart w:id="24" w:name="განმარტებები"/>
    <w:p>
      <w:pPr>
        <w:pStyle w:val="Heading2"/>
      </w:pPr>
      <w:r>
        <w:t xml:space="preserve">3. განმარტებები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ტერმინი</w:t>
            </w:r>
          </w:p>
        </w:tc>
        <w:tc>
          <w:tcPr/>
          <w:p>
            <w:pPr>
              <w:pStyle w:val="Compact"/>
              <w:jc w:val="left"/>
            </w:pPr>
            <w:r>
              <w:t xml:space="preserve">მნიშვნელობა</w:t>
            </w:r>
          </w:p>
        </w:tc>
      </w:tr>
      <w:tr>
        <w:tc>
          <w:tcPr/>
          <w:p>
            <w:pPr>
              <w:pStyle w:val="Compact"/>
              <w:jc w:val="left"/>
            </w:pPr>
            <w:r>
              <w:t xml:space="preserve">კლინიკური ლიდერი</w:t>
            </w:r>
          </w:p>
        </w:tc>
        <w:tc>
          <w:tcPr/>
          <w:p>
            <w:pPr>
              <w:pStyle w:val="Compact"/>
              <w:jc w:val="left"/>
            </w:pPr>
            <w:r>
              <w:t xml:space="preserve">იმ დროს სამსახურის ზედამხედველი ექიმი ან ექთანი</w:t>
            </w:r>
          </w:p>
        </w:tc>
      </w:tr>
    </w:tbl>
    <w:bookmarkEnd w:id="24"/>
    <w:bookmarkStart w:id="25" w:name="ფონი"/>
    <w:p>
      <w:pPr>
        <w:pStyle w:val="Heading2"/>
      </w:pPr>
      <w:r>
        <w:t xml:space="preserve">4. ფონი</w:t>
      </w:r>
    </w:p>
    <w:p>
      <w:pPr>
        <w:pStyle w:val="FirstParagraph"/>
      </w:pPr>
      <w:r>
        <w:t xml:space="preserve">ხანდაზმულები და შეზღუდული მობილობის მქონე პირები შეიძლება დაეცნენ, განუვითარდეთ ზეწოლითი დაზიანება, ან სწრაფად დაიკლონ წონა, ხშირად იმის გარეშე, რომ ვინმემ ზიანი შეამჩნიოს. მიღებისას და გრაფიკით ჩატარებული რისკის შემოწმება, ზომების დაწესებით, ამ უმეტესობას აცილებს.</w:t>
      </w:r>
    </w:p>
    <w:bookmarkEnd w:id="25"/>
    <w:bookmarkStart w:id="26" w:name="პასუხისმგებლობები"/>
    <w:p>
      <w:pPr>
        <w:pStyle w:val="Heading2"/>
      </w:pPr>
      <w:r>
        <w:t xml:space="preserve">5. პასუხისმგებლობები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როლი</w:t>
            </w:r>
          </w:p>
        </w:tc>
        <w:tc>
          <w:tcPr/>
          <w:p>
            <w:pPr>
              <w:pStyle w:val="Compact"/>
              <w:jc w:val="left"/>
            </w:pPr>
            <w:r>
              <w:t xml:space="preserve">პასუხისმგებლობა</w:t>
            </w:r>
          </w:p>
        </w:tc>
        <w:tc>
          <w:tcPr/>
          <w:p>
            <w:pPr>
              <w:pStyle w:val="Compact"/>
              <w:jc w:val="left"/>
            </w:pPr>
            <w:r>
              <w:t xml:space="preserve">კომპეტენცია</w:t>
            </w:r>
          </w:p>
        </w:tc>
      </w:tr>
      <w:tr>
        <w:tc>
          <w:tcPr/>
          <w:p>
            <w:pPr>
              <w:pStyle w:val="Compact"/>
              <w:jc w:val="left"/>
            </w:pPr>
            <w:r>
              <w:t xml:space="preserve">მოვლის სახლის უფროსი მედდა</w:t>
            </w:r>
          </w:p>
        </w:tc>
        <w:tc>
          <w:tcPr/>
          <w:p>
            <w:pPr>
              <w:pStyle w:val="Compact"/>
              <w:jc w:val="left"/>
            </w:pPr>
            <w:r>
              <w:t xml:space="preserve">ასრულებს სკრინინგს და ადგენს ზომებს</w:t>
            </w:r>
          </w:p>
        </w:tc>
        <w:tc>
          <w:tcPr/>
          <w:p>
            <w:pPr>
              <w:pStyle w:val="Compact"/>
              <w:jc w:val="left"/>
            </w:pPr>
            <w:r>
              <w:t xml:space="preserve">რეგისტრირებული მედდა</w:t>
            </w:r>
          </w:p>
        </w:tc>
      </w:tr>
      <w:tr>
        <w:tc>
          <w:tcPr/>
          <w:p>
            <w:pPr>
              <w:pStyle w:val="Compact"/>
              <w:jc w:val="left"/>
            </w:pPr>
            <w:r>
              <w:t xml:space="preserve">მოვლის პერსონალი</w:t>
            </w:r>
          </w:p>
        </w:tc>
        <w:tc>
          <w:tcPr/>
          <w:p>
            <w:pPr>
              <w:pStyle w:val="Compact"/>
              <w:jc w:val="left"/>
            </w:pPr>
            <w:r>
              <w:t xml:space="preserve">აკვირდება ცვლილებას და ატყობინებს იმავე ცვლაში</w:t>
            </w:r>
          </w:p>
        </w:tc>
        <w:tc>
          <w:tcPr/>
          <w:p>
            <w:pPr>
              <w:pStyle w:val="Compact"/>
              <w:jc w:val="left"/>
            </w:pPr>
            <w:r>
              <w:t xml:space="preserve">გაწვრთნილი სკრინინგში</w:t>
            </w:r>
          </w:p>
        </w:tc>
      </w:tr>
    </w:tbl>
    <w:bookmarkEnd w:id="26"/>
    <w:bookmarkStart w:id="27" w:name="მასალები-და-აღჭურვილობა"/>
    <w:p>
      <w:pPr>
        <w:pStyle w:val="Heading2"/>
      </w:pPr>
      <w:r>
        <w:t xml:space="preserve">6. მასალები და აღჭურვილობა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ნივთი</w:t>
            </w:r>
          </w:p>
        </w:tc>
        <w:tc>
          <w:tcPr/>
          <w:p>
            <w:pPr>
              <w:pStyle w:val="Compact"/>
              <w:jc w:val="left"/>
            </w:pPr>
            <w:r>
              <w:t xml:space="preserve">მოთხოვნა</w:t>
            </w:r>
          </w:p>
        </w:tc>
        <w:tc>
          <w:tcPr/>
          <w:p>
            <w:pPr>
              <w:pStyle w:val="Compact"/>
              <w:jc w:val="left"/>
            </w:pPr>
            <w:r>
              <w:t xml:space="preserve">მდგომარეობა</w:t>
            </w:r>
          </w:p>
        </w:tc>
      </w:tr>
      <w:tr>
        <w:tc>
          <w:tcPr/>
          <w:p>
            <w:pPr>
              <w:pStyle w:val="Compact"/>
              <w:jc w:val="left"/>
            </w:pPr>
            <w:r>
              <w:t xml:space="preserve">ამ დოკუმენტში მითითებული ჩანაწერები და ფორმები</w:t>
            </w:r>
          </w:p>
        </w:tc>
        <w:tc>
          <w:tcPr/>
          <w:p>
            <w:pPr>
              <w:pStyle w:val="Compact"/>
              <w:jc w:val="left"/>
            </w:pPr>
            <w:r>
              <w:t xml:space="preserve">მიმდინარე ვერსია</w:t>
            </w:r>
          </w:p>
        </w:tc>
        <w:tc>
          <w:tcPr/>
          <w:p>
            <w:pPr>
              <w:pStyle w:val="Compact"/>
              <w:jc w:val="left"/>
            </w:pPr>
            <w:r>
              <w:t xml:space="preserve">გამოყენებამდე შემოწმებული</w:t>
            </w:r>
          </w:p>
        </w:tc>
      </w:tr>
    </w:tbl>
    <w:bookmarkEnd w:id="27"/>
    <w:bookmarkStart w:id="28" w:name="უსაფრთხოება"/>
    <w:p>
      <w:pPr>
        <w:pStyle w:val="Heading2"/>
      </w:pPr>
      <w:r>
        <w:t xml:space="preserve">7. უსაფრთხოება</w:t>
      </w:r>
    </w:p>
    <w:p>
      <w:pPr>
        <w:numPr>
          <w:ilvl w:val="0"/>
          <w:numId w:val="1002"/>
        </w:numPr>
        <w:pStyle w:val="Compact"/>
      </w:pPr>
      <w:r>
        <w:t xml:space="preserve">თუ პაციენტს უშუალო რისკი ემუქრება, შეწყვიტეთ და გამოიძახეთ დახმარება. არ დააყოვნოთ გადაუდებელი მკურნალობა საბუთების შევსების გამო.</w:t>
      </w:r>
    </w:p>
    <w:bookmarkEnd w:id="28"/>
    <w:bookmarkStart w:id="29" w:name="დაწყებამდე"/>
    <w:p>
      <w:pPr>
        <w:pStyle w:val="Heading2"/>
      </w:pPr>
      <w:r>
        <w:t xml:space="preserve">8. დაწყებამდე</w:t>
      </w:r>
    </w:p>
    <w:p>
      <w:pPr>
        <w:numPr>
          <w:ilvl w:val="0"/>
          <w:numId w:val="1003"/>
        </w:numPr>
        <w:pStyle w:val="Compact"/>
      </w:pPr>
      <w:r>
        <w:t xml:space="preserve">დაადასტურეთ, რომ ამ დოკუმენტში მითითებული ფორმები და აღჭურვილობა ხელმისაწვდომია და აქტუალურია.</w:t>
      </w:r>
    </w:p>
    <w:bookmarkEnd w:id="29"/>
    <w:bookmarkStart w:id="30" w:name="პროცედურა"/>
    <w:p>
      <w:pPr>
        <w:pStyle w:val="Heading2"/>
      </w:pPr>
      <w:r>
        <w:t xml:space="preserve">9. პროცედურა</w:t>
      </w:r>
    </w:p>
    <w:p>
      <w:pPr>
        <w:pStyle w:val="FirstParagraph"/>
      </w:pPr>
      <w:r>
        <w:t xml:space="preserve">ნაბიჯი 1. სკრინინგი მიღებისას.</w:t>
      </w:r>
    </w:p>
    <w:p>
      <w:pPr>
        <w:numPr>
          <w:ilvl w:val="0"/>
          <w:numId w:val="1004"/>
        </w:numPr>
        <w:pStyle w:val="Compact"/>
      </w:pPr>
      <w:r>
        <w:t xml:space="preserve">დაასრულეთ დაცემის, ზეწოლითი დაზიანების და კვებითი სკრინინგი მიღებიდან 24 საათში.</w:t>
      </w:r>
    </w:p>
    <w:p>
      <w:pPr>
        <w:numPr>
          <w:ilvl w:val="0"/>
          <w:numId w:val="1004"/>
        </w:numPr>
        <w:pStyle w:val="Compact"/>
      </w:pPr>
      <w:r>
        <w:t xml:space="preserve">შედეგი ჩაწერეთ LTC-FRM-001-ზე.</w:t>
      </w:r>
    </w:p>
    <w:p>
      <w:pPr>
        <w:pStyle w:val="FirstParagraph"/>
      </w:pPr>
      <w:r>
        <w:rPr>
          <w:bCs/>
          <w:b/>
        </w:rPr>
        <w:t xml:space="preserve">მთავარი პუნქტი:</w:t>
      </w:r>
      <w:r>
        <w:t xml:space="preserve"> </w:t>
      </w:r>
      <w:r>
        <w:t xml:space="preserve">მიღება არის პირველი და ყველაზე მნიშვნელოვანი სკრინინგი.</w:t>
      </w:r>
    </w:p>
    <w:p>
      <w:pPr>
        <w:pStyle w:val="BodyText"/>
      </w:pPr>
      <w:r>
        <w:t xml:space="preserve">ნაბიჯი 2. დააწესეთ ზომები.</w:t>
      </w:r>
    </w:p>
    <w:p>
      <w:pPr>
        <w:numPr>
          <w:ilvl w:val="0"/>
          <w:numId w:val="1005"/>
        </w:numPr>
        <w:pStyle w:val="Compact"/>
      </w:pPr>
      <w:r>
        <w:t xml:space="preserve">ყოველი რისკის ქვეშ მყოფი რეზიდენტისთვის ჩაწერეთ ზომა: სამოძრაო საშუალებები, ზეწოლის შემამსუბუქებელი აღჭურვილობა, ან საკვებისა და სითხის გეგმა.</w:t>
      </w:r>
    </w:p>
    <w:p>
      <w:pPr>
        <w:numPr>
          <w:ilvl w:val="0"/>
          <w:numId w:val="1005"/>
        </w:numPr>
        <w:pStyle w:val="Compact"/>
      </w:pPr>
      <w:r>
        <w:t xml:space="preserve">აცნობეთ მოვლის გუნდს, სად არის ჩაწერილი.</w:t>
      </w:r>
    </w:p>
    <w:p>
      <w:pPr>
        <w:pStyle w:val="FirstParagraph"/>
      </w:pPr>
      <w:r>
        <w:rPr>
          <w:bCs/>
          <w:b/>
        </w:rPr>
        <w:t xml:space="preserve">მთავარი პუნქტი:</w:t>
      </w:r>
      <w:r>
        <w:t xml:space="preserve"> </w:t>
      </w:r>
      <w:r>
        <w:t xml:space="preserve">რისკი ზომის გარეშე არ იმართება.</w:t>
      </w:r>
    </w:p>
    <w:p>
      <w:pPr>
        <w:pStyle w:val="BodyText"/>
      </w:pPr>
      <w:r>
        <w:t xml:space="preserve">ნაბიჯი 3. გაიმეორეთ და იმოქმედეთ.</w:t>
      </w:r>
    </w:p>
    <w:p>
      <w:pPr>
        <w:numPr>
          <w:ilvl w:val="0"/>
          <w:numId w:val="1006"/>
        </w:numPr>
        <w:pStyle w:val="Compact"/>
      </w:pPr>
      <w:r>
        <w:t xml:space="preserve">გაიმეორეთ სკრინინგი რისკის დონისთვის დადგენილი გრაფიკით.</w:t>
      </w:r>
    </w:p>
    <w:p>
      <w:pPr>
        <w:numPr>
          <w:ilvl w:val="0"/>
          <w:numId w:val="1006"/>
        </w:numPr>
        <w:pStyle w:val="Compact"/>
      </w:pPr>
      <w:r>
        <w:t xml:space="preserve">ნებისმიერი დაცემის, ახალი კანის ცვლილების ან წონის დაკლების შემდეგ, იმავე დღეს გაიარეთ სკრინინგი ხელახლა.</w:t>
      </w:r>
    </w:p>
    <w:p>
      <w:pPr>
        <w:pStyle w:val="FirstParagraph"/>
      </w:pPr>
      <w:r>
        <w:rPr>
          <w:bCs/>
          <w:b/>
        </w:rPr>
        <w:t xml:space="preserve">მთავარი პუნქტი:</w:t>
      </w:r>
      <w:r>
        <w:t xml:space="preserve"> </w:t>
      </w:r>
      <w:r>
        <w:t xml:space="preserve">ცვლილება არის სიგნალი.</w:t>
      </w:r>
    </w:p>
    <w:p>
      <w:pPr>
        <w:pStyle w:val="BodyText"/>
      </w:pPr>
      <w:r>
        <w:t xml:space="preserve">ნაბიჯი 4. ჩაწერეთ რეესტრში.</w:t>
      </w:r>
    </w:p>
    <w:p>
      <w:pPr>
        <w:numPr>
          <w:ilvl w:val="0"/>
          <w:numId w:val="1007"/>
        </w:numPr>
        <w:pStyle w:val="Compact"/>
      </w:pPr>
      <w:r>
        <w:t xml:space="preserve">ყოველი რისკის ქვეშ მყოფი რეზიდენტი შეიტანეთ LTC-REG-001-ში შემდეგი სკრინინგის თარიღით.</w:t>
      </w:r>
    </w:p>
    <w:p>
      <w:pPr>
        <w:pStyle w:val="FirstParagraph"/>
      </w:pPr>
      <w:r>
        <w:rPr>
          <w:bCs/>
          <w:b/>
        </w:rPr>
        <w:t xml:space="preserve">მთავარი პუნქტი:</w:t>
      </w:r>
      <w:r>
        <w:t xml:space="preserve"> </w:t>
      </w:r>
      <w:r>
        <w:t xml:space="preserve">რეესტრი აჩვენებს, ვის ელის შემდეგი სკრინინგი.</w:t>
      </w:r>
    </w:p>
    <w:bookmarkEnd w:id="30"/>
    <w:bookmarkStart w:id="31" w:name="გადაწყვეტილების-წერტილები"/>
    <w:p>
      <w:pPr>
        <w:pStyle w:val="Heading2"/>
      </w:pPr>
      <w:r>
        <w:t xml:space="preserve">10. გადაწყვეტილების წერტილები</w:t>
      </w:r>
    </w:p>
    <w:p>
      <w:pPr>
        <w:numPr>
          <w:ilvl w:val="0"/>
          <w:numId w:val="1008"/>
        </w:numPr>
        <w:pStyle w:val="Compact"/>
      </w:pPr>
      <w:r>
        <w:t xml:space="preserve">ამ პროცედურაში გადაწყვეტილების წერტილები არ არის.</w:t>
      </w:r>
    </w:p>
    <w:bookmarkEnd w:id="31"/>
    <w:bookmarkStart w:id="32" w:name="განსაკუთრებული-სიტუაციები"/>
    <w:p>
      <w:pPr>
        <w:pStyle w:val="Heading2"/>
      </w:pPr>
      <w:r>
        <w:t xml:space="preserve">11. განსაკუთრებული სიტუაციები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სიტუაცია</w:t>
            </w:r>
          </w:p>
        </w:tc>
        <w:tc>
          <w:tcPr/>
          <w:p>
            <w:pPr>
              <w:pStyle w:val="Compact"/>
              <w:jc w:val="left"/>
            </w:pPr>
            <w:r>
              <w:t xml:space="preserve">მოქმედება</w:t>
            </w:r>
          </w:p>
        </w:tc>
      </w:tr>
      <w:tr>
        <w:tc>
          <w:tcPr/>
          <w:p>
            <w:pPr>
              <w:pStyle w:val="Compact"/>
              <w:jc w:val="left"/>
            </w:pPr>
            <w:r>
              <w:t xml:space="preserve">არასამუშაო საათები</w:t>
            </w:r>
          </w:p>
        </w:tc>
        <w:tc>
          <w:tcPr/>
          <w:p>
            <w:pPr>
              <w:pStyle w:val="Compact"/>
              <w:jc w:val="left"/>
            </w:pPr>
            <w:r>
              <w:t xml:space="preserve">მიჰყევით იმავე ეტაპებს. გამოიყენეთ სამსახურის კედელზე მითითებული მორიგე კონტაქტი.</w:t>
            </w:r>
          </w:p>
        </w:tc>
      </w:tr>
    </w:tbl>
    <w:bookmarkEnd w:id="32"/>
    <w:bookmarkStart w:id="33" w:name="ესკალაცია"/>
    <w:p>
      <w:pPr>
        <w:pStyle w:val="Heading2"/>
      </w:pPr>
      <w:r>
        <w:t xml:space="preserve">12. ესკალაცია</w:t>
      </w:r>
    </w:p>
    <w:p>
      <w:pPr>
        <w:numPr>
          <w:ilvl w:val="0"/>
          <w:numId w:val="1009"/>
        </w:numPr>
        <w:pStyle w:val="Compact"/>
      </w:pPr>
      <w:r>
        <w:t xml:space="preserve">ნებისმიერი სერიოზული პრობლემა დაუყოვნებლივ მიეწოდება მორიგე კლინიკურ ლიდერს, ხოლო იმავე დღეს – კლინიკურ დირექტორს.</w:t>
      </w:r>
    </w:p>
    <w:bookmarkEnd w:id="33"/>
    <w:bookmarkStart w:id="34" w:name="მონიტორინგი"/>
    <w:p>
      <w:pPr>
        <w:pStyle w:val="Heading2"/>
      </w:pPr>
      <w:r>
        <w:t xml:space="preserve">13. მონიტორინგი</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მაჩვენებელი</w:t>
            </w:r>
          </w:p>
        </w:tc>
        <w:tc>
          <w:tcPr/>
          <w:p>
            <w:pPr>
              <w:pStyle w:val="Compact"/>
              <w:jc w:val="left"/>
            </w:pPr>
            <w:r>
              <w:t xml:space="preserve">მიზანი</w:t>
            </w:r>
          </w:p>
        </w:tc>
        <w:tc>
          <w:tcPr/>
          <w:p>
            <w:pPr>
              <w:pStyle w:val="Compact"/>
              <w:jc w:val="left"/>
            </w:pPr>
            <w:r>
              <w:t xml:space="preserve">სიხშირე</w:t>
            </w:r>
          </w:p>
        </w:tc>
        <w:tc>
          <w:tcPr/>
          <w:p>
            <w:pPr>
              <w:pStyle w:val="Compact"/>
              <w:jc w:val="left"/>
            </w:pPr>
            <w:r>
              <w:t xml:space="preserve">პასუხისმგებელი</w:t>
            </w:r>
          </w:p>
        </w:tc>
        <w:tc>
          <w:tcPr/>
          <w:p>
            <w:pPr>
              <w:pStyle w:val="Compact"/>
              <w:jc w:val="left"/>
            </w:pPr>
            <w:r>
              <w:t xml:space="preserve">თუ არ შესრულდა</w:t>
            </w:r>
          </w:p>
        </w:tc>
      </w:tr>
      <w:tr>
        <w:tc>
          <w:tcPr/>
          <w:p>
            <w:pPr>
              <w:pStyle w:val="Compact"/>
              <w:jc w:val="left"/>
            </w:pPr>
            <w:r>
              <w:t xml:space="preserve">რეზიდენტები, რომლებიც მიღებისას 24 საათში გაიარეს სკრინინგი</w:t>
            </w:r>
          </w:p>
        </w:tc>
        <w:tc>
          <w:tcPr/>
          <w:p>
            <w:pPr>
              <w:pStyle w:val="Compact"/>
              <w:jc w:val="left"/>
            </w:pPr>
            <w:r>
              <w:t xml:space="preserve">100%</w:t>
            </w:r>
          </w:p>
        </w:tc>
        <w:tc>
          <w:tcPr/>
          <w:p>
            <w:pPr>
              <w:pStyle w:val="Compact"/>
              <w:jc w:val="left"/>
            </w:pPr>
            <w:r>
              <w:t xml:space="preserve">ყოველთვიურად</w:t>
            </w:r>
          </w:p>
        </w:tc>
        <w:tc>
          <w:tcPr/>
          <w:p>
            <w:pPr>
              <w:pStyle w:val="Compact"/>
              <w:jc w:val="left"/>
            </w:pPr>
            <w:r>
              <w:t xml:space="preserve">მორიგე მედდა</w:t>
            </w:r>
          </w:p>
        </w:tc>
        <w:tc>
          <w:tcPr/>
          <w:p>
            <w:pPr>
              <w:pStyle w:val="Compact"/>
              <w:jc w:val="left"/>
            </w:pPr>
            <w:r>
              <w:t xml:space="preserve">ესკალაცია კლინიკურ ხელმძღვანელთან</w:t>
            </w:r>
          </w:p>
        </w:tc>
      </w:tr>
      <w:tr>
        <w:tc>
          <w:tcPr/>
          <w:p>
            <w:pPr>
              <w:pStyle w:val="Compact"/>
              <w:jc w:val="left"/>
            </w:pPr>
            <w:r>
              <w:t xml:space="preserve">რისკის ქვეშ მყოფი რეზიდენტები დაწესებული ზომით</w:t>
            </w:r>
          </w:p>
        </w:tc>
        <w:tc>
          <w:tcPr/>
          <w:p>
            <w:pPr>
              <w:pStyle w:val="Compact"/>
              <w:jc w:val="left"/>
            </w:pPr>
            <w:r>
              <w:t xml:space="preserve">100%</w:t>
            </w:r>
          </w:p>
        </w:tc>
        <w:tc>
          <w:tcPr/>
          <w:p>
            <w:pPr>
              <w:pStyle w:val="Compact"/>
              <w:jc w:val="left"/>
            </w:pPr>
            <w:r>
              <w:t xml:space="preserve">ყოველთვიურად</w:t>
            </w:r>
          </w:p>
        </w:tc>
        <w:tc>
          <w:tcPr/>
          <w:p>
            <w:pPr>
              <w:pStyle w:val="Compact"/>
              <w:jc w:val="left"/>
            </w:pPr>
            <w:r>
              <w:t xml:space="preserve">მორიგე მედდა</w:t>
            </w:r>
          </w:p>
        </w:tc>
        <w:tc>
          <w:tcPr/>
          <w:p>
            <w:pPr>
              <w:pStyle w:val="Compact"/>
              <w:jc w:val="left"/>
            </w:pPr>
            <w:r>
              <w:t xml:space="preserve">ესკალაცია კლინიკურ ხელმძღვანელთან</w:t>
            </w:r>
          </w:p>
        </w:tc>
      </w:tr>
      <w:tr>
        <w:tc>
          <w:tcPr/>
          <w:p>
            <w:pPr>
              <w:pStyle w:val="Compact"/>
              <w:jc w:val="left"/>
            </w:pPr>
            <w:r>
              <w:t xml:space="preserve">სკრინინგები გრაფიკით გამეორებული</w:t>
            </w:r>
          </w:p>
        </w:tc>
        <w:tc>
          <w:tcPr/>
          <w:p>
            <w:pPr>
              <w:pStyle w:val="Compact"/>
              <w:jc w:val="left"/>
            </w:pPr>
            <w:r>
              <w:t xml:space="preserve">მინიმუმ 70%</w:t>
            </w:r>
          </w:p>
        </w:tc>
        <w:tc>
          <w:tcPr/>
          <w:p>
            <w:pPr>
              <w:pStyle w:val="Compact"/>
              <w:jc w:val="left"/>
            </w:pPr>
            <w:r>
              <w:t xml:space="preserve">ყოველკვარტალურად</w:t>
            </w:r>
          </w:p>
        </w:tc>
        <w:tc>
          <w:tcPr/>
          <w:p>
            <w:pPr>
              <w:pStyle w:val="Compact"/>
              <w:jc w:val="left"/>
            </w:pPr>
            <w:r>
              <w:t xml:space="preserve">კლინიკური ლიდერი</w:t>
            </w:r>
          </w:p>
        </w:tc>
        <w:tc>
          <w:tcPr/>
          <w:p>
            <w:pPr>
              <w:pStyle w:val="Compact"/>
              <w:jc w:val="left"/>
            </w:pPr>
            <w:r>
              <w:t xml:space="preserve">ესკალაცია კლინიკურ ხელმძღვანელთან</w:t>
            </w:r>
          </w:p>
        </w:tc>
      </w:tr>
    </w:tbl>
    <w:bookmarkEnd w:id="34"/>
    <w:bookmarkStart w:id="35" w:name="ჩანაწერები"/>
    <w:p>
      <w:pPr>
        <w:pStyle w:val="Heading2"/>
      </w:pPr>
      <w:r>
        <w:t xml:space="preserve">14. ჩანაწერები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ჩანაწერი</w:t>
            </w:r>
          </w:p>
        </w:tc>
        <w:tc>
          <w:tcPr/>
          <w:p>
            <w:pPr>
              <w:pStyle w:val="Compact"/>
              <w:jc w:val="left"/>
            </w:pPr>
            <w:r>
              <w:t xml:space="preserve">შენახვის ადგილი</w:t>
            </w:r>
          </w:p>
        </w:tc>
        <w:tc>
          <w:tcPr/>
          <w:p>
            <w:pPr>
              <w:pStyle w:val="Compact"/>
              <w:jc w:val="left"/>
            </w:pPr>
            <w:r>
              <w:t xml:space="preserve">შენახვის ვადა</w:t>
            </w:r>
          </w:p>
        </w:tc>
      </w:tr>
      <w:tr>
        <w:tc>
          <w:tcPr/>
          <w:p>
            <w:pPr>
              <w:pStyle w:val="Compact"/>
              <w:jc w:val="left"/>
            </w:pPr>
            <w:r>
              <w:t xml:space="preserve">ამ დოკუმენტში მითითებული ჩანაწერი</w:t>
            </w:r>
          </w:p>
        </w:tc>
        <w:tc>
          <w:tcPr/>
          <w:p>
            <w:pPr>
              <w:pStyle w:val="Compact"/>
              <w:jc w:val="left"/>
            </w:pPr>
            <w:r>
              <w:t xml:space="preserve">პაციენტის ჩანაწერი ან განყოფილების საქმე</w:t>
            </w:r>
          </w:p>
        </w:tc>
        <w:tc>
          <w:tcPr/>
          <w:p>
            <w:pPr>
              <w:pStyle w:val="Compact"/>
              <w:jc w:val="left"/>
            </w:pPr>
            <w:r>
              <w:t xml:space="preserve">დაწესებულების ჩანაწერების პოლიტიკით დადგენილი პერიოდი (წლები)</w:t>
            </w:r>
          </w:p>
        </w:tc>
      </w:tr>
    </w:tbl>
    <w:bookmarkEnd w:id="35"/>
    <w:bookmarkStart w:id="36" w:name="სწავლება"/>
    <w:p>
      <w:pPr>
        <w:pStyle w:val="Heading2"/>
      </w:pPr>
      <w:r>
        <w:t xml:space="preserve">15. სწავლება</w:t>
      </w:r>
    </w:p>
    <w:p>
      <w:pPr>
        <w:numPr>
          <w:ilvl w:val="0"/>
          <w:numId w:val="1010"/>
        </w:numPr>
        <w:pStyle w:val="Compact"/>
      </w:pPr>
      <w:r>
        <w:t xml:space="preserve">პერსონალი ამ დოკუმენტში ინსტრუქტირდება ჩართვისას და ყოველწლიურად ახლდება, კომპეტენციის ჩაწერილი შემოწმებით.</w:t>
      </w:r>
    </w:p>
    <w:bookmarkEnd w:id="36"/>
    <w:bookmarkStart w:id="39" w:name="დაკავშირებული-დოკუმენტები"/>
    <w:p>
      <w:pPr>
        <w:pStyle w:val="Heading2"/>
      </w:pPr>
      <w:r>
        <w:t xml:space="preserve">16. დაკავშირებული დოკუმენტები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ID</w:t>
            </w:r>
          </w:p>
        </w:tc>
        <w:tc>
          <w:tcPr/>
          <w:p>
            <w:pPr>
              <w:pStyle w:val="Compact"/>
              <w:jc w:val="left"/>
            </w:pPr>
            <w:r>
              <w:t xml:space="preserve">სათაური</w:t>
            </w:r>
          </w:p>
        </w:tc>
        <w:tc>
          <w:tcPr/>
          <w:p>
            <w:pPr>
              <w:pStyle w:val="Compact"/>
              <w:jc w:val="left"/>
            </w:pPr>
            <w:r>
              <w:t xml:space="preserve">გამოყენება</w:t>
            </w:r>
          </w:p>
        </w:tc>
      </w:tr>
      <w:tr>
        <w:tc>
          <w:tcPr/>
          <w:p>
            <w:pPr>
              <w:pStyle w:val="Compact"/>
              <w:jc w:val="left"/>
            </w:pPr>
            <w:hyperlink r:id="rId37">
              <w:r>
                <w:rPr>
                  <w:rStyle w:val="Hyperlink"/>
                </w:rPr>
                <w:t xml:space="preserve">LTC-FRM-001</w:t>
              </w:r>
            </w:hyperlink>
          </w:p>
        </w:tc>
        <w:tc>
          <w:tcPr/>
          <w:p>
            <w:pPr>
              <w:pStyle w:val="Compact"/>
              <w:jc w:val="left"/>
            </w:pPr>
            <w:r>
              <w:t xml:space="preserve">რისკის სკრინინგისა და ზომების ჩანაწერი</w:t>
            </w:r>
          </w:p>
        </w:tc>
        <w:tc>
          <w:tcPr/>
          <w:p>
            <w:pPr>
              <w:pStyle w:val="Compact"/>
              <w:jc w:val="left"/>
            </w:pPr>
            <w:r>
              <w:t xml:space="preserve">სკრინინგის ფორმა</w:t>
            </w:r>
          </w:p>
        </w:tc>
      </w:tr>
      <w:tr>
        <w:tc>
          <w:tcPr/>
          <w:p>
            <w:pPr>
              <w:pStyle w:val="Compact"/>
              <w:jc w:val="left"/>
            </w:pPr>
            <w:hyperlink r:id="rId38">
              <w:r>
                <w:rPr>
                  <w:rStyle w:val="Hyperlink"/>
                </w:rPr>
                <w:t xml:space="preserve">LTC-REG-001</w:t>
              </w:r>
            </w:hyperlink>
          </w:p>
        </w:tc>
        <w:tc>
          <w:tcPr/>
          <w:p>
            <w:pPr>
              <w:pStyle w:val="Compact"/>
              <w:jc w:val="left"/>
            </w:pPr>
            <w:r>
              <w:t xml:space="preserve">დაცემების, ზეწოლითი დაზიანებისა და წონის რეესტრი</w:t>
            </w:r>
          </w:p>
        </w:tc>
        <w:tc>
          <w:tcPr/>
          <w:p>
            <w:pPr>
              <w:pStyle w:val="Compact"/>
              <w:jc w:val="left"/>
            </w:pPr>
            <w:r>
              <w:t xml:space="preserve">რეგისტრი</w:t>
            </w:r>
          </w:p>
        </w:tc>
      </w:tr>
    </w:tbl>
    <w:bookmarkEnd w:id="39"/>
    <w:bookmarkStart w:id="40" w:name="მტკიცებულებები"/>
    <w:p>
      <w:pPr>
        <w:pStyle w:val="Heading2"/>
      </w:pPr>
      <w:r>
        <w:t xml:space="preserve">17. მტკიცებულებები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მითითება</w:t>
            </w:r>
          </w:p>
        </w:tc>
        <w:tc>
          <w:tcPr/>
          <w:p>
            <w:pPr>
              <w:pStyle w:val="Compact"/>
              <w:jc w:val="left"/>
            </w:pPr>
            <w:r>
              <w:t xml:space="preserve">შენიშვნა</w:t>
            </w:r>
          </w:p>
        </w:tc>
      </w:tr>
      <w:tr>
        <w:tc>
          <w:tcPr/>
          <w:p>
            <w:pPr>
              <w:pStyle w:val="Compact"/>
              <w:jc w:val="left"/>
            </w:pPr>
            <w:r>
              <w:t xml:space="preserve">E-009</w:t>
            </w:r>
          </w:p>
        </w:tc>
        <w:tc>
          <w:tcPr/>
          <w:p>
            <w:pPr>
              <w:pStyle w:val="Compact"/>
              <w:jc w:val="left"/>
            </w:pPr>
            <w:r>
              <w:t xml:space="preserve">ASF ექსპერტთა კომიტეტის კონსენსუსი. შკალის არჩევა მიჰყვება ეროვნულ სახელმძღვანელოს მოვლის სახლებისთვის.</w:t>
            </w:r>
          </w:p>
        </w:tc>
      </w:tr>
      <w:tr>
        <w:tc>
          <w:tcPr/>
          <w:p>
            <w:pPr>
              <w:pStyle w:val="Compact"/>
              <w:jc w:val="left"/>
            </w:pPr>
            <w:r>
              <w:t xml:space="preserve">E-006</w:t>
            </w:r>
          </w:p>
        </w:tc>
        <w:tc>
          <w:tcPr/>
          <w:p>
            <w:pPr>
              <w:pStyle w:val="Compact"/>
              <w:jc w:val="left"/>
            </w:pPr>
            <w:r>
              <w:t xml:space="preserve">ASF Policy Framework v1.2. ადაპტირებული.</w:t>
            </w:r>
          </w:p>
        </w:tc>
      </w:tr>
      <w:tr>
        <w:tc>
          <w:tcPr/>
          <w:p>
            <w:pPr>
              <w:pStyle w:val="Compact"/>
              <w:jc w:val="left"/>
            </w:pPr>
            <w:r>
              <w:t xml:space="preserve">E-009</w:t>
            </w:r>
          </w:p>
        </w:tc>
        <w:tc>
          <w:tcPr/>
          <w:p>
            <w:pPr>
              <w:pStyle w:val="Compact"/>
              <w:jc w:val="left"/>
            </w:pPr>
            <w:r>
              <w:t xml:space="preserve">ASF ექსპერტთა კომიტეტის კონსენსუსი.</w:t>
            </w:r>
          </w:p>
        </w:tc>
      </w:tr>
    </w:tbl>
    <w:bookmarkEnd w:id="40"/>
    <w:bookmarkStart w:id="41" w:name="ცვლილებების-ისტორია"/>
    <w:p>
      <w:pPr>
        <w:pStyle w:val="Heading2"/>
      </w:pPr>
      <w:r>
        <w:t xml:space="preserve">18. ცვლილებების ისტორია</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ვერსია</w:t>
            </w:r>
          </w:p>
        </w:tc>
        <w:tc>
          <w:tcPr/>
          <w:p>
            <w:pPr>
              <w:pStyle w:val="Compact"/>
              <w:jc w:val="left"/>
            </w:pPr>
            <w:r>
              <w:t xml:space="preserve">თარიღი</w:t>
            </w:r>
          </w:p>
        </w:tc>
        <w:tc>
          <w:tcPr/>
          <w:p>
            <w:pPr>
              <w:pStyle w:val="Compact"/>
              <w:jc w:val="left"/>
            </w:pPr>
            <w:r>
              <w:t xml:space="preserve">რა შეიცვალა</w:t>
            </w:r>
          </w:p>
        </w:tc>
        <w:tc>
          <w:tcPr/>
          <w:p>
            <w:pPr>
              <w:pStyle w:val="Compact"/>
              <w:jc w:val="left"/>
            </w:pPr>
            <w:r>
              <w:t xml:space="preserve">დამტკიცება</w:t>
            </w:r>
          </w:p>
        </w:tc>
      </w:tr>
      <w:tr>
        <w:tc>
          <w:tcPr/>
          <w:p>
            <w:pPr>
              <w:pStyle w:val="Compact"/>
              <w:jc w:val="left"/>
            </w:pPr>
            <w:r>
              <w:t xml:space="preserve">1.0</w:t>
            </w:r>
          </w:p>
        </w:tc>
        <w:tc>
          <w:tcPr/>
          <w:p>
            <w:pPr>
              <w:pStyle w:val="Compact"/>
            </w:pPr>
          </w:p>
        </w:tc>
        <w:tc>
          <w:tcPr/>
          <w:p>
            <w:pPr>
              <w:pStyle w:val="Compact"/>
              <w:jc w:val="left"/>
            </w:pPr>
            <w:r>
              <w:t xml:space="preserve">პირველი ვერსია</w:t>
            </w:r>
          </w:p>
        </w:tc>
        <w:tc>
          <w:tcPr/>
          <w:p>
            <w:pPr>
              <w:pStyle w:val="Compact"/>
            </w:pPr>
          </w:p>
        </w:tc>
      </w:tr>
    </w:tbl>
    <w:bookmarkEnd w:id="41"/>
    <w:bookmarkStart w:id="42" w:name="ამ-დოკუმენტის-ელექტრონული-სწავლება"/>
    <w:p>
      <w:pPr>
        <w:pStyle w:val="Heading2"/>
      </w:pPr>
      <w:r>
        <w:t xml:space="preserve">ამ დოკუმენტის ელექტრონული სწავლება</w:t>
      </w:r>
    </w:p>
    <w:p>
      <w:pPr>
        <w:pStyle w:val="FirstParagraph"/>
      </w:pPr>
      <w:r>
        <w:t xml:space="preserve">ამ დოკუმენტთან ჯერ არ არის დაკავშირებული ელექტრონული სწავლების კურსი.</w:t>
      </w:r>
    </w:p>
    <w:bookmarkEnd w:id="42"/>
    <w:bookmarkStart w:id="44" w:name="წყაროები"/>
    <w:p>
      <w:pPr>
        <w:pStyle w:val="Heading2"/>
      </w:pPr>
      <w:r>
        <w:t xml:space="preserve">წყაროები</w:t>
      </w:r>
    </w:p>
    <w:p>
      <w:pPr>
        <w:numPr>
          <w:ilvl w:val="0"/>
          <w:numId w:val="1011"/>
        </w:numPr>
        <w:pStyle w:val="Compact"/>
      </w:pPr>
      <w:r>
        <w:t xml:space="preserve">Accréditation Sans Frontières (2026). ASF Policy Framework v1.2.</w:t>
      </w:r>
      <w:r>
        <w:t xml:space="preserve"> </w:t>
      </w:r>
      <w:r>
        <w:t xml:space="preserve">(E-006)</w:t>
      </w:r>
    </w:p>
    <w:p>
      <w:pPr>
        <w:numPr>
          <w:ilvl w:val="0"/>
          <w:numId w:val="1011"/>
        </w:numPr>
        <w:pStyle w:val="Compact"/>
      </w:pPr>
      <w:r>
        <w:t xml:space="preserve">Accréditation Sans Frontières (2026). ASF Expert Committee consensus on Standard 1.</w:t>
      </w:r>
      <w:r>
        <w:t xml:space="preserve"> </w:t>
      </w:r>
      <w:r>
        <w:t xml:space="preserve">(E-009)</w:t>
      </w:r>
    </w:p>
    <w:p>
      <w:pPr>
        <w:pStyle w:val="FirstParagraph"/>
      </w:pPr>
      <w:r>
        <w:t xml:space="preserve">დაკავშირებული სტანდარტი</w:t>
      </w:r>
    </w:p>
    <w:p>
      <w:pPr>
        <w:numPr>
          <w:ilvl w:val="0"/>
          <w:numId w:val="1012"/>
        </w:numPr>
        <w:pStyle w:val="Compact"/>
      </w:pPr>
      <w:hyperlink r:id="rId43">
        <w:r>
          <w:rPr>
            <w:rStyle w:val="Hyperlink"/>
          </w:rPr>
          <w:t xml:space="preserve">სტანდარტი 28: ხანგრძლივი მოვლა</w:t>
        </w:r>
      </w:hyperlink>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8" Target="/documents/ltc-reg-001/" TargetMode="External" /><Relationship Type="http://schemas.openxmlformats.org/officeDocument/2006/relationships/hyperlink" Id="rId37" Target="/ka/documents/ltc-frm-001/" TargetMode="External" /><Relationship Type="http://schemas.openxmlformats.org/officeDocument/2006/relationships/hyperlink" Id="rId21" Target="/ka/resources/sops/" TargetMode="External" /><Relationship Type="http://schemas.openxmlformats.org/officeDocument/2006/relationships/hyperlink" Id="rId20" Target="/ka/standards/" TargetMode="External" /><Relationship Type="http://schemas.openxmlformats.org/officeDocument/2006/relationships/hyperlink" Id="rId43" Target="/ka/standards/standard-28/" TargetMode="External" /></Relationships>
</file>

<file path=word/_rels/footnotes.xml.rels><?xml version="1.0" encoding="UTF-8"?><Relationships xmlns="http://schemas.openxmlformats.org/package/2006/relationships"><Relationship Type="http://schemas.openxmlformats.org/officeDocument/2006/relationships/hyperlink" Id="rId38" Target="/documents/ltc-reg-001/" TargetMode="External" /><Relationship Type="http://schemas.openxmlformats.org/officeDocument/2006/relationships/hyperlink" Id="rId37" Target="/ka/documents/ltc-frm-001/" TargetMode="External" /><Relationship Type="http://schemas.openxmlformats.org/officeDocument/2006/relationships/hyperlink" Id="rId21" Target="/ka/resources/sops/" TargetMode="External" /><Relationship Type="http://schemas.openxmlformats.org/officeDocument/2006/relationships/hyperlink" Id="rId20" Target="/ka/standards/" TargetMode="External" /><Relationship Type="http://schemas.openxmlformats.org/officeDocument/2006/relationships/hyperlink" Id="rId43" Target="/ka/standards/standard-2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LTC-SOP-001: დაცემის, ზეწოლითი დაზიანებისა და კვებითი რისკის სკრინინგი</dc:title>
  <dc:creator/>
  <cp:keywords/>
  <dcterms:created xsi:type="dcterms:W3CDTF">2026-11-07T01:58:29Z</dcterms:created>
  <dcterms:modified xsi:type="dcterms:W3CDTF">2026-11-07T01:58:29Z</dcterms:modified>
</cp:coreProperties>
</file>

<file path=docProps/custom.xml><?xml version="1.0" encoding="utf-8"?>
<Properties xmlns="http://schemas.openxmlformats.org/officeDocument/2006/custom-properties" xmlns:vt="http://schemas.openxmlformats.org/officeDocument/2006/docPropsVTypes"/>
</file>