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LTC-SOP-002:</w:t>
      </w:r>
      <w:r>
        <w:t xml:space="preserve"> </w:t>
      </w:r>
      <w:r>
        <w:t xml:space="preserve">წამლების</w:t>
      </w:r>
      <w:r>
        <w:t xml:space="preserve"> </w:t>
      </w:r>
      <w:r>
        <w:t xml:space="preserve">შეჯერება</w:t>
      </w:r>
      <w:r>
        <w:t xml:space="preserve"> </w:t>
      </w:r>
      <w:r>
        <w:t xml:space="preserve">მიღებისას,</w:t>
      </w:r>
      <w:r>
        <w:t xml:space="preserve"> </w:t>
      </w:r>
      <w:r>
        <w:t xml:space="preserve">გადაყვანისას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გაწერისას</w:t>
      </w:r>
    </w:p>
    <w:bookmarkStart w:id="45" w:name="X539bc1bfe2fa70d36c44da2b64edc948fb6bebc"/>
    <w:p>
      <w:pPr>
        <w:pStyle w:val="Heading1"/>
      </w:pPr>
      <w:r>
        <w:t xml:space="preserve">LTC-SOP-002: წამლების შეჯერება მიღებისას, გადაყვანისას და გაწერისას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S4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LTC-SOP-002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S4 (გრძელვადიანი მოვლა), კრიტერიუმი S4.4</w:t>
      </w:r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მიღებისას, გადაყვანისა და გაწერისას შეადარეთ რეზიდენტის საკუთარი წამლები სახლის სიას.</w:t>
      </w:r>
    </w:p>
    <w:p>
      <w:pPr>
        <w:numPr>
          <w:ilvl w:val="0"/>
          <w:numId w:val="1001"/>
        </w:numPr>
        <w:pStyle w:val="Compact"/>
      </w:pPr>
      <w:r>
        <w:t xml:space="preserve">ყოველი სხვაობა დანიშნულ ექიმთან გადაჭერით შემდეგ დოზამდე.</w:t>
      </w:r>
    </w:p>
    <w:p>
      <w:pPr>
        <w:numPr>
          <w:ilvl w:val="0"/>
          <w:numId w:val="1001"/>
        </w:numPr>
        <w:pStyle w:val="Compact"/>
      </w:pPr>
      <w:r>
        <w:t xml:space="preserve">შედეგი ჩაწერეთ შეჯერების ფორმაზე.</w:t>
      </w:r>
    </w:p>
    <w:p>
      <w:pPr>
        <w:numPr>
          <w:ilvl w:val="0"/>
          <w:numId w:val="1001"/>
        </w:numPr>
        <w:pStyle w:val="Compact"/>
      </w:pPr>
      <w:r>
        <w:t xml:space="preserve">რეზიდენტსა და შემდეგ მომწოდებელს მიეცით ერთი მიმდინარე სია.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დოზა მიეცა ან შეწყდა მოვლის ცვლილებისას, შეჯერების ჩაწერის გარეშე.</w:t>
      </w:r>
    </w:p>
    <w:bookmarkStart w:id="22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წამლები არ გამოტოვდეს, არ გაორმაგდეს ან შეცდომით არ შეწყდეს, როცა რეზიდენტი მოვლის გარემოს ცვლის (S4.4).</w:t>
      </w:r>
    </w:p>
    <w:bookmarkEnd w:id="22"/>
    <w:bookmarkStart w:id="23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3"/>
    <w:bookmarkStart w:id="24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4"/>
    <w:bookmarkStart w:id="25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პაციენტის საკუთარი წამლები ხშირად იცვლება ან იკარგება მიღებისა და გაწერისას. შეჯერება ყოველ ცვლილებაზე ამის დაჭერის ყველაზე უსაფრთხო გზაა.</w:t>
      </w:r>
    </w:p>
    <w:bookmarkEnd w:id="25"/>
    <w:bookmarkStart w:id="26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რეგისტრირებული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შეჯერებას და ესაუბრება დანიშნულ ექიმს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რეგისტრირებული 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დანიშნული ექიმი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ადასტურებს ან ცვლის ყოველ სხვაობას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 დამნიშნავი</w:t>
            </w:r>
          </w:p>
        </w:tc>
      </w:tr>
    </w:tbl>
    <w:bookmarkEnd w:id="26"/>
    <w:bookmarkStart w:id="27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7"/>
    <w:bookmarkStart w:id="28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28"/>
    <w:bookmarkStart w:id="29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29"/>
    <w:bookmarkStart w:id="30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სიის შეგროვება.</w:t>
      </w:r>
    </w:p>
    <w:p>
      <w:pPr>
        <w:numPr>
          <w:ilvl w:val="0"/>
          <w:numId w:val="1004"/>
        </w:numPr>
        <w:pStyle w:val="Compact"/>
      </w:pPr>
      <w:r>
        <w:t xml:space="preserve">მიიღეთ რეზიდენტის წამლების სია გამწერი ან მიმღები მომწოდებლისგან, აფთიაქიდან და რეზიდენტისგან ან ოჯახისგან.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სამი წყარო უკეთესია ერთზე.</w:t>
      </w:r>
    </w:p>
    <w:p>
      <w:pPr>
        <w:pStyle w:val="BodyText"/>
      </w:pPr>
      <w:r>
        <w:t xml:space="preserve">ნაბიჯი 2. შედარება.</w:t>
      </w:r>
    </w:p>
    <w:p>
      <w:pPr>
        <w:numPr>
          <w:ilvl w:val="0"/>
          <w:numId w:val="1005"/>
        </w:numPr>
        <w:pStyle w:val="Compact"/>
      </w:pPr>
      <w:r>
        <w:t xml:space="preserve">შეადარეთ სიაში ყოველი წამალი სახლის სიასთან.</w:t>
      </w:r>
    </w:p>
    <w:p>
      <w:pPr>
        <w:numPr>
          <w:ilvl w:val="0"/>
          <w:numId w:val="1005"/>
        </w:numPr>
        <w:pStyle w:val="Compact"/>
      </w:pPr>
      <w:r>
        <w:t xml:space="preserve">აღნიშნეთ ყოველი სხვაობა: გამოტოვებული, შეცვლილი, დამატებითი ან გაორმაგებული.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სხვაობა კითხვაა.</w:t>
      </w:r>
    </w:p>
    <w:p>
      <w:pPr>
        <w:pStyle w:val="BodyText"/>
      </w:pPr>
      <w:r>
        <w:t xml:space="preserve">ნაბიჯი 3. გადაჭრა.</w:t>
      </w:r>
    </w:p>
    <w:p>
      <w:pPr>
        <w:numPr>
          <w:ilvl w:val="0"/>
          <w:numId w:val="1006"/>
        </w:numPr>
        <w:pStyle w:val="Compact"/>
      </w:pPr>
      <w:r>
        <w:t xml:space="preserve">შემდეგი დოზის დადგომამდე დანიშნულ ექიმს ჰკითხეთ ყოველ სხვაობაზე.</w:t>
      </w:r>
    </w:p>
    <w:p>
      <w:pPr>
        <w:numPr>
          <w:ilvl w:val="0"/>
          <w:numId w:val="1006"/>
        </w:numPr>
        <w:pStyle w:val="Compact"/>
      </w:pPr>
      <w:r>
        <w:t xml:space="preserve">ჩაწერეთ გადაწყვეტილება და ვინ მიიღო იგი.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არცერთი სხვაობა ღია არ რჩება.</w:t>
      </w:r>
    </w:p>
    <w:p>
      <w:pPr>
        <w:pStyle w:val="BodyText"/>
      </w:pPr>
      <w:r>
        <w:t xml:space="preserve">ნაბიჯი 4. მიმდინარე სიის მიცემა.</w:t>
      </w:r>
    </w:p>
    <w:p>
      <w:pPr>
        <w:numPr>
          <w:ilvl w:val="0"/>
          <w:numId w:val="1007"/>
        </w:numPr>
        <w:pStyle w:val="Compact"/>
      </w:pPr>
      <w:r>
        <w:t xml:space="preserve">ერთი მიმდინარე სია მიეცით რეზიდენტს, ოჯახსა და შემდეგ მომწოდებელს.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ერთი სია, გაზიარებული.</w:t>
      </w:r>
    </w:p>
    <w:bookmarkEnd w:id="30"/>
    <w:bookmarkStart w:id="31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1"/>
    <w:bookmarkStart w:id="32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2"/>
    <w:bookmarkStart w:id="33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3"/>
    <w:bookmarkStart w:id="34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მოვლის ცვლილებები ჩაწერილი შეჯერებით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ხელმძღვანელს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სხვაობები გადაჭრილი შემდეგ დოზამდე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</w:tbl>
    <w:bookmarkEnd w:id="34"/>
    <w:bookmarkStart w:id="35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5"/>
    <w:bookmarkStart w:id="36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6"/>
    <w:bookmarkStart w:id="39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LTC-FRM-002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წამლების შეჯერების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წამლების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39"/>
    <w:bookmarkStart w:id="40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 High 5s-ის წამლების შეჯერების სტანდარტულ საოპერაციო პროტოკოლზე (2014).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0"/>
    <w:bookmarkStart w:id="41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1"/>
    <w:bookmarkStart w:id="4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42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 xml:space="preserve">სტანდარტი 28: Long-Term Care</w:t>
        </w:r>
      </w:hyperlink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/documents/hos-pol-001/" TargetMode="External" /><Relationship Type="http://schemas.openxmlformats.org/officeDocument/2006/relationships/hyperlink" Id="rId37" Target="/documents/ltc-frm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/documents/hos-pol-001/" TargetMode="External" /><Relationship Type="http://schemas.openxmlformats.org/officeDocument/2006/relationships/hyperlink" Id="rId37" Target="/documents/ltc-frm-002/" TargetMode="External" /><Relationship Type="http://schemas.openxmlformats.org/officeDocument/2006/relationships/hyperlink" Id="rId21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3" Target="/ka/standards/standard-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LTC-SOP-002: წამლების შეჯერება მიღებისას, გადაყვანისას და გაწერისას</dc:title>
  <dc:creator/>
  <dc:language>ka</dc:language>
  <cp:keywords/>
  <dcterms:created xsi:type="dcterms:W3CDTF">2026-11-07T01:19:36Z</dcterms:created>
  <dcterms:modified xsi:type="dcterms:W3CDTF">2026-11-07T01:19:36Z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