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3" w:name="X5684b0d2603170fc283fa28b386c30dfee0f802"/>
    <w:p>
      <w:pPr>
        <w:pStyle w:val="Heading1"/>
      </w:pPr>
      <w:r>
        <w:t xml:space="preserve">MNP-FRM-001: ოპიოიდების დანიშვნის განხილვის ჩანაწერი</w:t>
      </w:r>
    </w:p>
    <w:p>
      <w:pPr>
        <w:pStyle w:val="FirstParagraph"/>
      </w:pPr>
      <w:hyperlink r:id="rId20">
        <w:r>
          <w:rPr>
            <w:rStyle w:val="Hyperlink"/>
          </w:rPr>
          <w:t xml:space="preserve">სტანდარტები</w:t>
        </w:r>
      </w:hyperlink>
      <w:r>
        <w:t xml:space="preserve"> </w:t>
      </w:r>
      <w:r>
        <w:t xml:space="preserve">›</w:t>
      </w:r>
      <w:r>
        <w:t xml:space="preserve"> </w:t>
      </w:r>
      <w:hyperlink r:id="rId21">
        <w:r>
          <w:rPr>
            <w:rStyle w:val="Hyperlink"/>
          </w:rPr>
          <w:t xml:space="preserve">სტანდარტი 3</w:t>
        </w:r>
      </w:hyperlink>
      <w:r>
        <w:t xml:space="preserve"> </w:t>
      </w:r>
      <w:r>
        <w:t xml:space="preserve">›</w:t>
      </w:r>
      <w:r>
        <w:t xml:space="preserve"> </w:t>
      </w:r>
      <w:hyperlink r:id="rId22">
        <w:r>
          <w:rPr>
            <w:rStyle w:val="Hyperlink"/>
          </w:rPr>
          <w:t xml:space="preserve">ფორმები</w:t>
        </w:r>
      </w:hyperlink>
    </w:p>
    <w:p>
      <w:pPr>
        <w:pStyle w:val="BodyText"/>
      </w:pPr>
      <w:r>
        <w:t xml:space="preserve">ფორმა · MNP-FRM-001 · ვერსია 1.0 · დამტკიცებულია ASF ექსპერტთა კომიტეტის მიერ</w:t>
      </w:r>
    </w:p>
    <w:p>
      <w:pPr>
        <w:pStyle w:val="BodyText"/>
      </w:pPr>
      <w:r>
        <w:rPr>
          <w:bCs/>
          <w:b/>
        </w:rPr>
        <w:t xml:space="preserve">მხარს უჭერს:</w:t>
      </w:r>
      <w:r>
        <w:t xml:space="preserve"> </w:t>
      </w:r>
      <w:hyperlink r:id="rId23">
        <w:r>
          <w:rPr>
            <w:rStyle w:val="Hyperlink"/>
          </w:rPr>
          <w:t xml:space="preserve">3.2</w:t>
        </w:r>
      </w:hyperlink>
    </w:p>
    <w:bookmarkStart w:id="24" w:name="დანიშნულება"/>
    <w:p>
      <w:pPr>
        <w:pStyle w:val="Heading2"/>
      </w:pPr>
      <w:r>
        <w:t xml:space="preserve">დანიშნულება</w:t>
      </w:r>
    </w:p>
    <w:p>
      <w:pPr>
        <w:pStyle w:val="FirstParagraph"/>
      </w:pPr>
      <w:r>
        <w:t xml:space="preserve">აღნუსხავს ოპიოიდის დანიშვნის მიზეზს, განხილულ ალტერნატივებს, დოზას, განხილვასა და შეწყვეტის თარიღს.</w:t>
      </w:r>
    </w:p>
    <w:bookmarkEnd w:id="24"/>
    <w:bookmarkStart w:id="25" w:name="როგორ-შევავსოთ"/>
    <w:p>
      <w:pPr>
        <w:pStyle w:val="Heading2"/>
      </w:pPr>
      <w:r>
        <w:t xml:space="preserve">როგორ შევავსოთ</w:t>
      </w:r>
    </w:p>
    <w:p>
      <w:pPr>
        <w:numPr>
          <w:ilvl w:val="0"/>
          <w:numId w:val="1001"/>
        </w:numPr>
        <w:pStyle w:val="Compact"/>
      </w:pPr>
      <w:r>
        <w:t xml:space="preserve">შეავსეთ ოპიოიდის პირველად დანიშვნისას.</w:t>
      </w:r>
    </w:p>
    <w:p>
      <w:pPr>
        <w:numPr>
          <w:ilvl w:val="0"/>
          <w:numId w:val="1001"/>
        </w:numPr>
        <w:pStyle w:val="Compact"/>
      </w:pPr>
      <w:r>
        <w:t xml:space="preserve">შეავსეთ ყოველ განხილვის თარიღზე.</w:t>
      </w:r>
    </w:p>
    <w:p>
      <w:pPr>
        <w:numPr>
          <w:ilvl w:val="0"/>
          <w:numId w:val="1001"/>
        </w:numPr>
        <w:pStyle w:val="Compact"/>
      </w:pPr>
      <w:r>
        <w:t xml:space="preserve">აღნუსხეთ შეწყვეტის ან განხილვის თარიღი.</w:t>
      </w:r>
    </w:p>
    <w:bookmarkEnd w:id="25"/>
    <w:bookmarkStart w:id="26" w:name="შემოწმებები"/>
    <w:p>
      <w:pPr>
        <w:pStyle w:val="Heading2"/>
      </w:pPr>
      <w:r>
        <w:t xml:space="preserve">შემოწმებები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შემოწმება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ჩანაწერი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ოპიოიდის დანიშვნის მიზეზი აღნუსხულია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დიახ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განხილული არაოპიოიდური ალტერნატივები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დიახ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ყველაზე დაბალი ეფექტური დოზა და ხანგრძლივობა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დიახ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დაყენებულია შეწყვეტის ან განხილვის 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დიახ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განხილვის შედეგი ყოველ განხილვაზე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დიახ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დამნიშნავი და 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დიახ</w:t>
            </w:r>
          </w:p>
        </w:tc>
      </w:tr>
    </w:tbl>
    <w:bookmarkEnd w:id="26"/>
    <w:bookmarkStart w:id="27" w:name="მტკიცებულებები"/>
    <w:p>
      <w:pPr>
        <w:pStyle w:val="Heading2"/>
      </w:pPr>
      <w:r>
        <w:t xml:space="preserve">მტკიცებულებები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მითითება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შენიშვნა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ეფუძნება CDC-ის Clinical Practice Guideline for Prescribing Opioids for Pain-ს (2022).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Policy Framework v1.2. Adapted.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Expert Committee consensus.</w:t>
            </w:r>
          </w:p>
        </w:tc>
      </w:tr>
    </w:tbl>
    <w:bookmarkEnd w:id="27"/>
    <w:bookmarkStart w:id="28" w:name="ცვლილებების-ისტორია"/>
    <w:p>
      <w:pPr>
        <w:pStyle w:val="Heading2"/>
      </w:pPr>
      <w:r>
        <w:t xml:space="preserve">ცვლილებების ისტორია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რა შეიცვალა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დამტკიცება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პირველი ვერსია</w:t>
            </w:r>
          </w:p>
        </w:tc>
        <w:tc>
          <w:tcPr/>
          <w:p>
            <w:pPr>
              <w:pStyle w:val="Compact"/>
            </w:pPr>
          </w:p>
        </w:tc>
      </w:tr>
    </w:tbl>
    <w:bookmarkEnd w:id="28"/>
    <w:bookmarkStart w:id="31" w:name="ამ-დოკუმენტის-ელექტრონული-სწავლება"/>
    <w:p>
      <w:pPr>
        <w:pStyle w:val="Heading2"/>
      </w:pPr>
      <w:r>
        <w:t xml:space="preserve">ამ დოკუმენტის ელექტრონული სწავლება</w:t>
      </w:r>
    </w:p>
    <w:p>
      <w:pPr>
        <w:numPr>
          <w:ilvl w:val="0"/>
          <w:numId w:val="1002"/>
        </w:numPr>
        <w:pStyle w:val="Compact"/>
      </w:pPr>
      <w:hyperlink r:id="rId29">
        <w:r>
          <w:rPr>
            <w:rStyle w:val="Hyperlink"/>
          </w:rPr>
          <w:t xml:space="preserve">Prescribing &amp; Controlled Substance Management</w:t>
        </w:r>
      </w:hyperlink>
      <w:r>
        <w:t xml:space="preserve"> </w:t>
      </w:r>
      <w:r>
        <w:t xml:space="preserve">(TM-05)</w:t>
      </w:r>
    </w:p>
    <w:p>
      <w:pPr>
        <w:numPr>
          <w:ilvl w:val="0"/>
          <w:numId w:val="1002"/>
        </w:numPr>
        <w:pStyle w:val="Compact"/>
      </w:pPr>
      <w:hyperlink r:id="rId30">
        <w:r>
          <w:rPr>
            <w:rStyle w:val="Hyperlink"/>
          </w:rPr>
          <w:t xml:space="preserve">Medication Safety: Operating SOP-MED-01 End to End</w:t>
        </w:r>
      </w:hyperlink>
      <w:r>
        <w:t xml:space="preserve"> </w:t>
      </w:r>
      <w:r>
        <w:t xml:space="preserve">(T-08)</w:t>
      </w:r>
    </w:p>
    <w:bookmarkEnd w:id="31"/>
    <w:bookmarkStart w:id="32" w:name="წყაროები"/>
    <w:p>
      <w:pPr>
        <w:pStyle w:val="Heading2"/>
      </w:pPr>
      <w:r>
        <w:t xml:space="preserve">წყაროები</w:t>
      </w:r>
    </w:p>
    <w:p>
      <w:pPr>
        <w:numPr>
          <w:ilvl w:val="0"/>
          <w:numId w:val="1003"/>
        </w:numPr>
        <w:pStyle w:val="Compact"/>
      </w:pPr>
      <w:r>
        <w:t xml:space="preserve">Accréditation Sans Frontières (2026). ASF Policy Framework v1.2.</w:t>
      </w:r>
      <w:r>
        <w:t xml:space="preserve"> </w:t>
      </w:r>
      <w:r>
        <w:t xml:space="preserve">(E-006)</w:t>
      </w:r>
    </w:p>
    <w:p>
      <w:pPr>
        <w:numPr>
          <w:ilvl w:val="0"/>
          <w:numId w:val="1003"/>
        </w:numPr>
        <w:pStyle w:val="Compact"/>
      </w:pPr>
      <w:r>
        <w:t xml:space="preserve">Accréditation Sans Frontières (2026). ASF Expert Committee consensus on Standard 1.</w:t>
      </w:r>
      <w:r>
        <w:t xml:space="preserve"> </w:t>
      </w:r>
      <w:r>
        <w:t xml:space="preserve">(E-009)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rPr>
      <w:rFonts w:ascii="Sylfaen" w:hAnsi="Sylfaen"/>
    </w:rPr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 w:ascii="Sylfaen" w:hAnsi="Sylfaen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7" Type="http://schemas.openxmlformats.org/officeDocument/2006/relationships/footnotes" Target="footnotes.xml"/><Relationship Id="rId8" Type="http://schemas.openxmlformats.org/officeDocument/2006/relationships/comments" Target="comments.xml"/><Relationship Id="rId22" Type="http://schemas.openxmlformats.org/officeDocument/2006/relationships/hyperlink" Target="/ka/resources/forms/" TargetMode="External"/><Relationship Id="rId20" Type="http://schemas.openxmlformats.org/officeDocument/2006/relationships/hyperlink" Target="/ka/standards/" TargetMode="External"/><Relationship Id="rId21" Type="http://schemas.openxmlformats.org/officeDocument/2006/relationships/hyperlink" Target="/ka/standards/standard-3/" TargetMode="External"/><Relationship Id="rId23" Type="http://schemas.openxmlformats.org/officeDocument/2006/relationships/hyperlink" Target="/ka/standards/standard-3/#c3-2" TargetMode="External"/><Relationship Id="rId30" Type="http://schemas.openxmlformats.org/officeDocument/2006/relationships/hyperlink" Target="https://academy.gmj.ge/courses/asf-t-08-en/" TargetMode="External"/><Relationship Id="rId29" Type="http://schemas.openxmlformats.org/officeDocument/2006/relationships/hyperlink" Target="https://academy.gmj.ge/courses/asf-tm-05-en/" TargetMode="External"/></Relationships>
</file>

<file path=word/_rels/footnotes.xml.rels><?xml version='1.0' encoding='UTF-8' standalone='yes'?>
<Relationships xmlns="http://schemas.openxmlformats.org/package/2006/relationships"><Relationship Id="rId22" Type="http://schemas.openxmlformats.org/officeDocument/2006/relationships/hyperlink" Target="/ka/resources/forms/" TargetMode="External"/><Relationship Id="rId20" Type="http://schemas.openxmlformats.org/officeDocument/2006/relationships/hyperlink" Target="/ka/standards/" TargetMode="External"/><Relationship Id="rId21" Type="http://schemas.openxmlformats.org/officeDocument/2006/relationships/hyperlink" Target="/ka/standards/standard-3/" TargetMode="External"/><Relationship Id="rId23" Type="http://schemas.openxmlformats.org/officeDocument/2006/relationships/hyperlink" Target="/ka/standards/standard-3/#c3-2" TargetMode="External"/><Relationship Id="rId30" Type="http://schemas.openxmlformats.org/officeDocument/2006/relationships/hyperlink" Target="https://academy.gmj.ge/courses/asf-t-08-en/" TargetMode="External"/><Relationship Id="rId29" Type="http://schemas.openxmlformats.org/officeDocument/2006/relationships/hyperlink" Target="https://academy.gmj.ge/courses/asf-tm-05-en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2026-11-07T01:38:57Z</dcterms:created>
  <dcterms:modified xsi:type="dcterms:W3CDTF">2026-11-07T01:38:57Z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