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MNP-POL-003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პაციენტის ტკივილი მიღებისას ფასდება სტრუქტურირებული ინსტრუმენტით.</w:t>
      </w:r>
    </w:p>
    <w:p>
      <w:pPr>
        <w:numPr>
          <w:ilvl w:val="0"/>
          <w:numId w:val="1001"/>
        </w:numPr>
        <w:pStyle w:val="Compact"/>
      </w:pPr>
      <w:r>
        <w:t xml:space="preserve">ტკივილი ფასდება ხელახლა დადგენილ ინტერვალში და ტკივილის ყოველი ინტერვენციის შემდეგ.</w:t>
      </w:r>
    </w:p>
    <w:p>
      <w:pPr>
        <w:numPr>
          <w:ilvl w:val="0"/>
          <w:numId w:val="1001"/>
        </w:numPr>
        <w:pStyle w:val="Compact"/>
      </w:pPr>
      <w:r>
        <w:t xml:space="preserve">ქულა აღირიცხება და მასზე რეაგირდება.</w:t>
      </w:r>
    </w:p>
    <w:p>
      <w:pPr>
        <w:numPr>
          <w:ilvl w:val="0"/>
          <w:numId w:val="1001"/>
        </w:numPr>
        <w:pStyle w:val="Compact"/>
      </w:pPr>
      <w:r>
        <w:t xml:space="preserve">ტკივილი, რომელიც კონტროლირებული არ არის, ესკალირდება პასუხისმგებელ კლინიკოსთან.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ტკივილის მქონე პაციენტს მიღებისას არ შეუფასდა, ან კონტროლირებადი არ არის ტკივილი არ ესკალირდება.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ტკივილი გაიზომოს, მკურნალობდეს და ხელახლა გაიზომოს, და არა მხოლოდ ერთხელ შეეკითხონ (3.3).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მიღებისას ერთხელ ნაკითხი ტკივილი სწრაფად ივიწყება. მისი შეფასება სტრუქტურირებული ინსტრუმენტით და მკურნალობის შემდეგ ხელახლა აჩვენებს, მუშაობს თუ არა მკურნალობა და როდის უნდა შეიცვალოს.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პოლიტიკას და ახდენს მის აუდიტს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განყოფილების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აფასებს, აღრიცხავს და ხელახლა აფასებს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 კლინიკოსი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განიხილავს კონტროლირებად არ არსებულ ტკივილს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შეაფასეთ ტკივილი სტრუქტურირებული ინსტრუმენტით მიღებისას (MNP-FRM-002).</w:t>
      </w:r>
    </w:p>
    <w:p>
      <w:pPr>
        <w:numPr>
          <w:ilvl w:val="0"/>
          <w:numId w:val="1004"/>
        </w:numPr>
        <w:pStyle w:val="Compact"/>
      </w:pPr>
      <w:r>
        <w:t xml:space="preserve">აღრიცხეთ ქულა და ლოკაცია.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ქულა, არა კითხვა.</w:t>
      </w:r>
    </w:p>
    <w:p>
      <w:pPr>
        <w:pStyle w:val="BodyText"/>
      </w:pPr>
      <w:r>
        <w:t xml:space="preserve">ნაბიჯი 2. ხელახალი შეფასება.</w:t>
      </w:r>
    </w:p>
    <w:p>
      <w:pPr>
        <w:numPr>
          <w:ilvl w:val="0"/>
          <w:numId w:val="1005"/>
        </w:numPr>
        <w:pStyle w:val="Compact"/>
      </w:pPr>
      <w:r>
        <w:t xml:space="preserve">ხელახლა შეაფასეთ დადგენილ ინტერვალში და ყოველი ტკივილის ინტერვენციიდან 30–60 წუთის შემდეგ.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მკურნალობის შემდეგ ისევ შეამოწმეთ.</w:t>
      </w:r>
    </w:p>
    <w:p>
      <w:pPr>
        <w:pStyle w:val="BodyText"/>
      </w:pPr>
      <w:r>
        <w:t xml:space="preserve">ნაბიჯი 3. მოქმედება.</w:t>
      </w:r>
    </w:p>
    <w:p>
      <w:pPr>
        <w:numPr>
          <w:ilvl w:val="0"/>
          <w:numId w:val="1006"/>
        </w:numPr>
        <w:pStyle w:val="Compact"/>
      </w:pPr>
      <w:r>
        <w:t xml:space="preserve">მკურნალობა გააკეთეთ გეგმის მიხედვით და ესკალირება გაუკეთეთ კონტროლირებადი არ არსებულ ტკივილს.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ქულა, რომელიც არ ეცემა, პრობლემაა.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 ტკივილის ქულით მიღებისას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ტკივილი ხელახლა შეფასდა ინტერვენციის შემდეგ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MNP-SOP-002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სტრუქტურირებული ტკივილის შეფასება და ხელახალი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MNP-FRM-002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ტკივილის შეფასების ცხრილი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ცხრილი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Ferreira-Valente et al. (2011) ტკივილის ინტენსივობის დამტკიცებულ შკალებზე.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მზრუნველობა და მკურნალობა: კლინიკური სტანდარტები აკრედიტაციისთვის</w:t>
        </w:r>
      </w:hyperlink>
      <w:r>
        <w:t xml:space="preserve"> </w:t>
      </w:r>
      <w:r>
        <w:t xml:space="preserve">(H-04)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კლინიკური და სამედიცინო მზრუნველობა ხანგრძლივი მოვლის დაწესებულებაში</w:t>
        </w:r>
      </w:hyperlink>
      <w:r>
        <w:t xml:space="preserve"> </w:t>
      </w:r>
      <w:r>
        <w:t xml:space="preserve">(LTC-04)</w:t>
      </w:r>
    </w:p>
    <w:bookmarkEnd w:id="46"/>
    <w:bookmarkStart w:id="49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7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mnp-frm-002/" TargetMode="External" /><Relationship Type="http://schemas.openxmlformats.org/officeDocument/2006/relationships/hyperlink" Id="rId39" Target="/ka/documents/mnp-sop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/" TargetMode="External" /><Relationship Type="http://schemas.openxmlformats.org/officeDocument/2006/relationships/hyperlink" Id="rId23" Target="/ka/standards/standard-3/#c3-3" TargetMode="External" /><Relationship Type="http://schemas.openxmlformats.org/officeDocument/2006/relationships/hyperlink" Id="rId44" Target="https://academy.gmj.ge/courses/asf-h-04-ka/" TargetMode="External" /><Relationship Type="http://schemas.openxmlformats.org/officeDocument/2006/relationships/hyperlink" Id="rId45" Target="https://academy.gmj.ge/courses/asf-ltc-04-en/" TargetMode="External" /><Relationship Type="http://schemas.openxmlformats.org/officeDocument/2006/relationships/hyperlink" Id="rId48" Target="https://france-asf.fr/wp-content/uploads/2026/10/mnp-pol-003-form-1.docx" TargetMode="External" /><Relationship Type="http://schemas.openxmlformats.org/officeDocument/2006/relationships/hyperlink" Id="rId47" Target="https://france-asf.fr/wp-content/uploads/2026/10/mnp-pol-003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mnp-frm-002/" TargetMode="External" /><Relationship Type="http://schemas.openxmlformats.org/officeDocument/2006/relationships/hyperlink" Id="rId39" Target="/ka/documents/mnp-sop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/" TargetMode="External" /><Relationship Type="http://schemas.openxmlformats.org/officeDocument/2006/relationships/hyperlink" Id="rId23" Target="/ka/standards/standard-3/#c3-3" TargetMode="External" /><Relationship Type="http://schemas.openxmlformats.org/officeDocument/2006/relationships/hyperlink" Id="rId44" Target="https://academy.gmj.ge/courses/asf-h-04-ka/" TargetMode="External" /><Relationship Type="http://schemas.openxmlformats.org/officeDocument/2006/relationships/hyperlink" Id="rId45" Target="https://academy.gmj.ge/courses/asf-ltc-04-en/" TargetMode="External" /><Relationship Type="http://schemas.openxmlformats.org/officeDocument/2006/relationships/hyperlink" Id="rId48" Target="https://france-asf.fr/wp-content/uploads/2026/10/mnp-pol-003-form-1.docx" TargetMode="External" /><Relationship Type="http://schemas.openxmlformats.org/officeDocument/2006/relationships/hyperlink" Id="rId47" Target="https://france-asf.fr/wp-content/uploads/2026/10/mnp-pol-003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2026-11-07T01:42:07Z</dcterms:created>
  <dcterms:modified xsi:type="dcterms:W3CDTF">2026-11-07T01:42:07Z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