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Relationship Id="rId3" Type="http://schemas.openxmlformats.org/package/2006/relationships/metadata/core-properties" Target="docProps/core.xml"/><Relationship Id="rId5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>MOB-REG-002: მოცვის გადახედვის რეგისტრი</w:t>
      </w:r>
      <w:r/>
      <w:r/>
      <w:r/>
      <w:r/>
      <w:r/>
      <w:r/>
    </w:p>
    <w:tbl>
      <w:tblPr>
        <w:tblStyle w:val="Table"/>
        <w:tblW w:type="pct" w:w="5000"/>
        <w:tblLook w:firstRow="0" w:lastRow="0" w:firstColumn="0" w:lastColumn="0" w:noHBand="0" w:noVBand="0" w:val="0000"/>
        <w:jc w:val="start"/>
      </w:tblPr>
      <w:tblGrid>
        <w:gridCol w:w="1980"/>
        <w:gridCol w:w="1980"/>
        <w:gridCol w:w="1980"/>
        <w:gridCol w:w="1980"/>
      </w:tblGrid>
      <w:tr>
        <w:tc>
          <w:tcPr/>
          <w:p>
            <w:pPr>
              <w:pStyle w:val="Compact"/>
              <w:jc w:val="left"/>
            </w:pPr>
            <w:r>
              <w:t>ორგანიზაციის სახელი</w:t>
            </w:r>
          </w:p>
          <w:p>
            <w:pPr>
              <w:pStyle w:val="Compact"/>
              <w:jc w:val="left"/>
            </w:pPr>
            <w:r>
              <w:t>ობიექტი ან განყოფილება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>რეგისტრი</w:t>
            </w:r>
          </w:p>
          <w:p>
            <w:pPr>
              <w:pStyle w:val="Compact"/>
              <w:jc w:val="left"/>
            </w:pPr>
            <w:r>
              <w:t>მოცვის გადახედვის რეგისტრი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>დოკუმენტის ID</w:t>
            </w:r>
          </w:p>
        </w:tc>
        <w:tc>
          <w:tcPr/>
          <w:p>
            <w:pPr>
              <w:pStyle w:val="Compact"/>
              <w:jc w:val="left"/>
            </w:pPr>
            <w:r>
              <w:t>MOB-REG-002</w:t>
            </w:r>
          </w:p>
        </w:tc>
        <w:tc>
          <w:tcPr/>
          <w:p>
            <w:pPr>
              <w:pStyle w:val="Compact"/>
              <w:jc w:val="left"/>
            </w:pPr>
            <w:r>
              <w:t>ვერსია</w:t>
            </w:r>
          </w:p>
        </w:tc>
        <w:tc>
          <w:tcPr/>
          <w:p>
            <w:pPr>
              <w:pStyle w:val="Compact"/>
              <w:jc w:val="left"/>
            </w:pPr>
            <w:r>
              <w:t>1.0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სტატუსი</w:t>
            </w:r>
          </w:p>
        </w:tc>
        <w:tc>
          <w:tcPr/>
          <w:p>
            <w:pPr>
              <w:pStyle w:val="Compact"/>
              <w:jc w:val="left"/>
            </w:pPr>
            <w:r>
              <w:t>ცარიელი ფორმა, მოსარგებად</w:t>
            </w:r>
          </w:p>
        </w:tc>
        <w:tc>
          <w:tcPr/>
          <w:p>
            <w:pPr>
              <w:pStyle w:val="Compact"/>
              <w:jc w:val="left"/>
            </w:pPr>
            <w:r>
              <w:t>გამოშვების თარიღი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 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გადახედვის თარიღი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 </w:t>
            </w:r>
          </w:p>
        </w:tc>
        <w:tc>
          <w:tcPr/>
          <w:p>
            <w:pPr>
              <w:pStyle w:val="Compact"/>
              <w:jc w:val="left"/>
            </w:pPr>
            <w:r>
              <w:t>ანაცვლებს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 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პასუხისმგებელი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 </w:t>
            </w:r>
          </w:p>
        </w:tc>
        <w:tc>
          <w:tcPr/>
          <w:p>
            <w:pPr>
              <w:pStyle w:val="Compact"/>
              <w:jc w:val="left"/>
            </w:pPr>
            <w:r>
              <w:t>დაამტკიცა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 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ხელმოწერა</w:t>
            </w:r>
          </w:p>
        </w:tc>
        <w:tc>
          <w:tcPr>
            <w:gridSpan w:val="3"/>
          </w:tcPr>
          <w:p>
            <w:pPr>
              <w:pStyle w:val="Compact"/>
              <w:jc w:val="left"/>
            </w:pPr>
            <w:r>
              <w:t xml:space="preserve"> </w:t>
            </w:r>
          </w:p>
        </w:tc>
      </w:tr>
    </w:tbl>
    <w:p>
      <w:pPr>
        <w:pStyle w:val="BodyText"/>
      </w:pPr>
      <w:hyperlink r:id="rId20">
        <w:r>
          <w:rPr>
            <w:rStyle w:val="Hyperlink"/>
          </w:rPr>
          <w:t xml:space="preserve">Standards</w:t>
        </w:r>
      </w:hyperlink>
      <w:r>
        <w:t xml:space="preserve"> ›  › </w:t>
      </w:r>
      <w:r/>
      <w:r/>
      <w:hyperlink r:id="rId21">
        <w:r>
          <w:rPr>
            <w:rStyle w:val="Hyperlink"/>
          </w:rPr>
          <w:t xml:space="preserve">Standard 13</w:t>
        </w:r>
      </w:hyperlink>
      <w:r/>
      <w:r/>
      <w:r/>
      <w:hyperlink r:id="rId22">
        <w:r>
          <w:rPr>
            <w:rStyle w:val="Hyperlink"/>
          </w:rPr>
          <w:t xml:space="preserve">Registers and logs</w:t>
        </w:r>
      </w:hyperlink>
    </w:p>
    <w:p>
      <w:pPr>
        <w:pStyle w:val="BodyText"/>
      </w:pPr>
      <w:r>
        <w:t>რეგისტრი · MOB-REG-002 · ვერსია 1.0 · დამტკიცებულია ASF ექსპერტთა კომიტეტის მიერ</w:t>
      </w:r>
    </w:p>
    <w:p>
      <w:pPr>
        <w:pStyle w:val="BodyText"/>
      </w:pPr>
      <w:r>
        <w:rPr>
          <w:bCs/>
          <w:b/>
        </w:rPr>
        <w:t xml:space="preserve">მხარს უჭერს: </w:t>
      </w:r>
      <w:r/>
      <w:hyperlink r:id="rId23">
        <w:r>
          <w:rPr>
            <w:rStyle w:val="Hyperlink"/>
          </w:rPr>
          <w:t xml:space="preserve">13.8</w:t>
        </w:r>
      </w:hyperlink>
    </w:p>
    <w:bookmarkStart w:id="24" w:name="purpose"/>
    <w:p>
      <w:pPr>
        <w:pStyle w:val="Heading2"/>
      </w:pPr>
      <w:r>
        <w:t>დანიშნულება</w:t>
      </w:r>
    </w:p>
    <w:p>
      <w:pPr>
        <w:pStyle w:val="FirstParagraph"/>
      </w:pPr>
      <w:r>
        <w:t>აღრიცხავს თითოეულ მოცვის გადახედვას, ვინც ვერ მიაღწიეს და გრაფიკის ცვლილებას.</w:t>
      </w:r>
    </w:p>
    <w:bookmarkEnd w:id="24"/>
    <w:bookmarkStart w:id="25" w:name="how-to-complete"/>
    <w:p>
      <w:pPr>
        <w:pStyle w:val="Heading2"/>
      </w:pPr>
      <w:r>
        <w:t>როგორ შევავსოთ</w:t>
      </w:r>
    </w:p>
    <w:p>
      <w:pPr>
        <w:numPr>
          <w:ilvl w:val="0"/>
          <w:numId w:val="1001"/>
        </w:numPr>
        <w:pStyle w:val="Compact"/>
      </w:pPr>
      <w:r>
        <w:t>მოცვა ყოველ კვარტალში გადახედეთ.</w:t>
      </w:r>
    </w:p>
    <w:p>
      <w:pPr>
        <w:numPr>
          <w:ilvl w:val="0"/>
          <w:numId w:val="1001"/>
        </w:numPr>
        <w:pStyle w:val="Compact"/>
      </w:pPr>
      <w:r>
        <w:t>აღრიცხეთ, ვინ ვერ მივიდა.</w:t>
      </w:r>
    </w:p>
    <w:p>
      <w:pPr>
        <w:numPr>
          <w:ilvl w:val="0"/>
          <w:numId w:val="1001"/>
        </w:numPr>
        <w:pStyle w:val="Compact"/>
      </w:pPr>
      <w:r>
        <w:t>აღრიცხეთ გრაფიკის ყოველი ცვლილება და მიზეზი.</w:t>
      </w:r>
    </w:p>
    <w:bookmarkEnd w:id="25"/>
    <w:bookmarkStart w:id="26" w:name="record-fields"/>
    <w:p>
      <w:pPr>
        <w:pStyle w:val="Heading2"/>
      </w:pPr>
      <w:r>
        <w:t>ჩასაწერი ველები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1131"/>
        <w:gridCol w:w="1131"/>
        <w:gridCol w:w="1131"/>
        <w:gridCol w:w="1131"/>
        <w:gridCol w:w="1131"/>
        <w:gridCol w:w="1131"/>
        <w:gridCol w:w="1131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>გადახედვის თარიღი</w:t>
            </w:r>
          </w:p>
        </w:tc>
        <w:tc>
          <w:tcPr/>
          <w:p>
            <w:pPr>
              <w:pStyle w:val="Compact"/>
              <w:jc w:val="left"/>
            </w:pPr>
            <w:r>
              <w:t>მოსახლეობის არეალი</w:t>
            </w:r>
          </w:p>
        </w:tc>
        <w:tc>
          <w:tcPr/>
          <w:p>
            <w:pPr>
              <w:pStyle w:val="Compact"/>
              <w:jc w:val="left"/>
            </w:pPr>
            <w:r>
              <w:t>მოსალოდნელი ადამიანები</w:t>
            </w:r>
          </w:p>
        </w:tc>
        <w:tc>
          <w:tcPr/>
          <w:p>
            <w:pPr>
              <w:pStyle w:val="Compact"/>
              <w:jc w:val="left"/>
            </w:pPr>
            <w:r>
              <w:t>მიღწეული ადამიანები</w:t>
            </w:r>
          </w:p>
        </w:tc>
        <w:tc>
          <w:tcPr/>
          <w:p>
            <w:pPr>
              <w:pStyle w:val="Compact"/>
              <w:jc w:val="left"/>
            </w:pPr>
            <w:r>
              <w:t>გამოვლენილი ხარვეზი</w:t>
            </w:r>
          </w:p>
        </w:tc>
        <w:tc>
          <w:tcPr/>
          <w:p>
            <w:pPr>
              <w:pStyle w:val="Compact"/>
              <w:jc w:val="left"/>
            </w:pPr>
            <w:r>
              <w:t>გრაფიკის ცვლილება</w:t>
            </w:r>
          </w:p>
        </w:tc>
        <w:tc>
          <w:tcPr/>
          <w:p>
            <w:pPr>
              <w:pStyle w:val="Compact"/>
              <w:jc w:val="left"/>
            </w:pPr>
            <w:r>
              <w:t>პასუხისმგებელი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bookmarkEnd w:id="26"/>
    <w:bookmarkStart w:id="27" w:name="evidence"/>
    <w:p>
      <w:pPr>
        <w:pStyle w:val="Heading2"/>
      </w:pPr>
      <w:r>
        <w:t>მტკიცებულებები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3960"/>
        <w:gridCol w:w="396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>მითითება</w:t>
            </w:r>
          </w:p>
        </w:tc>
        <w:tc>
          <w:tcPr/>
          <w:p>
            <w:pPr>
              <w:pStyle w:val="Compact"/>
              <w:jc w:val="left"/>
            </w:pPr>
            <w:r>
              <w:t>შენიშვნა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E-009</w:t>
            </w:r>
          </w:p>
        </w:tc>
        <w:tc>
          <w:tcPr/>
          <w:p>
            <w:pPr>
              <w:pStyle w:val="Compact"/>
              <w:jc w:val="left"/>
            </w:pPr>
            <w:r>
              <w:t>დაფუძნებულია Sphere-ის სახელმძღვანელოზე, ჰუმანიტარულ ქარტიასა და ჰუმანიტარულ რეაგირებაში მინიმალურ სტანდარტებზე (2018).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E-006</w:t>
            </w:r>
          </w:p>
        </w:tc>
        <w:tc>
          <w:tcPr/>
          <w:p>
            <w:pPr>
              <w:pStyle w:val="Compact"/>
              <w:jc w:val="left"/>
            </w:pPr>
            <w:r>
              <w:t>ASF Policy Framework v1.2. ადაპტირებული.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E-009</w:t>
            </w:r>
          </w:p>
        </w:tc>
        <w:tc>
          <w:tcPr/>
          <w:p>
            <w:pPr>
              <w:pStyle w:val="Compact"/>
              <w:jc w:val="left"/>
            </w:pPr>
            <w:r>
              <w:t>ASF ექსპერტთა კომიტეტის კონსენსუსი.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bookmarkEnd w:id="27"/>
    <w:bookmarkStart w:id="28" w:name="change-history"/>
    <w:p>
      <w:pPr>
        <w:pStyle w:val="Heading2"/>
      </w:pPr>
      <w:r>
        <w:t>ცვლილებების ისტორია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1980"/>
        <w:gridCol w:w="1980"/>
        <w:gridCol w:w="1980"/>
        <w:gridCol w:w="198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>ვერსია</w:t>
            </w:r>
          </w:p>
        </w:tc>
        <w:tc>
          <w:tcPr/>
          <w:p>
            <w:pPr>
              <w:pStyle w:val="Compact"/>
              <w:jc w:val="left"/>
            </w:pPr>
            <w:r>
              <w:t>თარიღი</w:t>
            </w:r>
          </w:p>
        </w:tc>
        <w:tc>
          <w:tcPr/>
          <w:p>
            <w:pPr>
              <w:pStyle w:val="Compact"/>
              <w:jc w:val="left"/>
            </w:pPr>
            <w:r>
              <w:t>რა შეიცვალა</w:t>
            </w:r>
          </w:p>
        </w:tc>
        <w:tc>
          <w:tcPr/>
          <w:p>
            <w:pPr>
              <w:pStyle w:val="Compact"/>
              <w:jc w:val="left"/>
            </w:pPr>
            <w:r>
              <w:t>დამტკიცება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1.0</w:t>
            </w:r>
          </w:p>
        </w:tc>
        <w:tc>
          <w:tcPr/>
          <w:p>
            <w:pPr>
              <w:pStyle w:val="Compact"/>
              <w:jc w:val="left"/>
            </w:pPr>
            <w:r>
              <w:t>დამტკიცების თარიღი</w:t>
            </w:r>
          </w:p>
        </w:tc>
        <w:tc>
          <w:tcPr/>
          <w:p>
            <w:pPr>
              <w:pStyle w:val="Compact"/>
              <w:jc w:val="left"/>
            </w:pPr>
            <w:r>
              <w:t>პირველი ვერსია</w:t>
            </w:r>
          </w:p>
        </w:tc>
        <w:tc>
          <w:tcPr/>
          <w:p>
            <w:pPr>
              <w:pStyle w:val="Compact"/>
              <w:jc w:val="left"/>
            </w:pPr>
            <w:r>
              <w:t>დამტკიცებულია ექსპერტთა კომიტეტის მიერ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bookmarkEnd w:id="28"/>
    <w:bookmarkStart w:id="30" w:name="references"/>
    <w:p>
      <w:pPr>
        <w:pStyle w:val="Heading2"/>
      </w:pPr>
      <w:r>
        <w:t>წყაროები</w:t>
      </w:r>
    </w:p>
    <w:p>
      <w:pPr>
        <w:numPr>
          <w:ilvl w:val="0"/>
          <w:numId w:val="1002"/>
        </w:numPr>
        <w:pStyle w:val="Compact"/>
      </w:pPr>
      <w:r>
        <w:t>Accréditation Sans Frontières (2026). ASF Policy Framework v1.2. (E-006)</w:t>
      </w:r>
      <w:r/>
      <w:r/>
    </w:p>
    <w:p>
      <w:pPr>
        <w:numPr>
          <w:ilvl w:val="0"/>
          <w:numId w:val="1002"/>
        </w:numPr>
        <w:pStyle w:val="Compact"/>
      </w:pPr>
      <w:r>
        <w:t>Accréditation Sans Frontières (2026). ASF Expert Committee consensus on Standard 1. (E-009)</w:t>
      </w:r>
      <w:r/>
      <w:r/>
    </w:p>
    <w:p>
      <w:pPr>
        <w:pStyle w:val="FirstParagraph"/>
      </w:pPr>
      <w:hyperlink r:id="rId29">
        <w:r>
          <w:rPr>
            <w:rStyle w:val="Hyperlink"/>
          </w:rPr>
          <w:t xml:space="preserve">Download this document as PDF</w:t>
        </w:r>
      </w:hyperlink>
    </w:p>
    <w:bookmarkEnd w:id="30"/>
    <w:sectPr>
      <w:headerReference w:type="default" r:id="rId9"/>
      <w:footerReference w:type="default" r:id="rId10"/>
      <w:pgSz w:w="11906" w:h="16838"/>
      <w:pgMar w:left="794" w:right="794" w:top="794" w:bottom="907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Title" w:type="paragraph">
    <w:name w:val="Abstract Title"/>
    <w:basedOn w:val="Normal"/>
    <w:next w:val="Abstract"/>
    <w:qFormat/>
    <w:pPr>
      <w:keepNext/>
      <w:keepLines/>
      <w:jc w:val="center"/>
      <w:spacing w:after="0" w:before="300"/>
    </w:pPr>
    <w:rPr>
      <w:sz w:val="20"/>
      <w:szCs w:val="20"/>
      <w:b/>
      <w:color w:val="345A8A"/>
      &gt;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7" Type="http://schemas.openxmlformats.org/officeDocument/2006/relationships/footnotes" Target="footnotes.xml"/><Relationship Id="rId8" Type="http://schemas.openxmlformats.org/officeDocument/2006/relationships/comments" Target="comments.xml"/><Relationship Id="rId22" Type="http://schemas.openxmlformats.org/officeDocument/2006/relationships/hyperlink" Target="/resources/registers/" TargetMode="External"/><Relationship Id="rId20" Type="http://schemas.openxmlformats.org/officeDocument/2006/relationships/hyperlink" Target="/standards/" TargetMode="External"/><Relationship Id="rId21" Type="http://schemas.openxmlformats.org/officeDocument/2006/relationships/hyperlink" Target="/standards/standard-13/" TargetMode="External"/><Relationship Id="rId23" Type="http://schemas.openxmlformats.org/officeDocument/2006/relationships/hyperlink" Target="/standards/standard-13/#c13-8" TargetMode="External"/><Relationship Id="rId29" Type="http://schemas.openxmlformats.org/officeDocument/2006/relationships/hyperlink" Target="https://france-asf.fr/wp-content/uploads/2026/10/mob-reg-002.pdf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notes.xml.rels><?xml version='1.0' encoding='UTF-8' standalone='yes'?>
<Relationships xmlns="http://schemas.openxmlformats.org/package/2006/relationships"><Relationship Id="rId22" Type="http://schemas.openxmlformats.org/officeDocument/2006/relationships/hyperlink" Target="/resources/registers/" TargetMode="External"/><Relationship Id="rId20" Type="http://schemas.openxmlformats.org/officeDocument/2006/relationships/hyperlink" Target="/standards/" TargetMode="External"/><Relationship Id="rId21" Type="http://schemas.openxmlformats.org/officeDocument/2006/relationships/hyperlink" Target="/standards/standard-13/" TargetMode="External"/><Relationship Id="rId23" Type="http://schemas.openxmlformats.org/officeDocument/2006/relationships/hyperlink" Target="/standards/standard-13/#c13-8" TargetMode="External"/><Relationship Id="rId29" Type="http://schemas.openxmlformats.org/officeDocument/2006/relationships/hyperlink" Target="https://france-asf.fr/wp-content/uploads/2026/10/mob-reg-002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MOB-REG-002: Coverage review register</dc:title>
  <dc:creator/>
  <cp:keywords/>
  <dcterms:created xsi:type="dcterms:W3CDTF">2026-10-28T21:33:55Z</dcterms:created>
  <dcterms:modified xsi:type="dcterms:W3CDTF">2026-10-28T21:33:55Z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