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MOB-SOP-002: მარტოდ მუშაობისას შემოწმება და რეაგირება</w:t>
      </w:r>
      <w:r/>
      <w:r/>
      <w:r/>
      <w:r/>
      <w:r/>
      <w:r/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სტანდარტული საოპერაციო პროცედურა</w:t>
            </w:r>
          </w:p>
          <w:p>
            <w:pPr>
              <w:pStyle w:val="Compact"/>
              <w:jc w:val="left"/>
            </w:pPr>
            <w:r>
              <w:t>მარტოდ მუშაობის შემოწმება და რეაგირება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>MOB-SOP-002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›  › </w:t>
      </w:r>
      <w:r/>
      <w:r/>
      <w:hyperlink r:id="rId21">
        <w:r>
          <w:rPr>
            <w:rStyle w:val="Hyperlink"/>
          </w:rPr>
          <w:t xml:space="preserve">Standard 13</w:t>
        </w:r>
      </w:hyperlink>
      <w:r/>
      <w:r/>
      <w:r/>
      <w:hyperlink r:id="rId22">
        <w:r>
          <w:rPr>
            <w:rStyle w:val="Hyperlink"/>
          </w:rPr>
          <w:t xml:space="preserve">Standard operating procedures (SOPs)</w:t>
        </w:r>
      </w:hyperlink>
    </w:p>
    <w:p>
      <w:pPr>
        <w:pStyle w:val="BodyText"/>
      </w:pPr>
      <w:r>
        <w:t>სტანდარტული საოპერაციო პროცედურა (SOP) · MOB-SOP-002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13.10</w:t>
        </w:r>
      </w:hyperlink>
    </w:p>
    <w:p>
      <w:pPr>
        <w:pStyle w:val="BodyText"/>
      </w:pPr>
      <w:r>
        <w:t>მოკლედ</w:t>
      </w:r>
    </w:p>
    <w:p>
      <w:pPr>
        <w:numPr>
          <w:ilvl w:val="0"/>
          <w:numId w:val="1001"/>
        </w:numPr>
        <w:pStyle w:val="Compact"/>
      </w:pPr>
      <w:r>
        <w:t>თანამშრომელი, რომელიც მარტო მუშაობს, ან გუნდი, რომელიც ბაზასთან კავშირს კარგავს, დადგენილ დროს ეკონტაქტება.</w:t>
      </w:r>
    </w:p>
    <w:p>
      <w:pPr>
        <w:numPr>
          <w:ilvl w:val="0"/>
          <w:numId w:val="1001"/>
        </w:numPr>
        <w:pStyle w:val="Compact"/>
      </w:pPr>
      <w:r>
        <w:t>შემოწმება აღირიცხება MOB-FRM-004-ზე.</w:t>
      </w:r>
    </w:p>
    <w:p>
      <w:pPr>
        <w:numPr>
          <w:ilvl w:val="0"/>
          <w:numId w:val="1001"/>
        </w:numPr>
        <w:pStyle w:val="Compact"/>
      </w:pPr>
      <w:r>
        <w:t>თუ შემოწმება გამოტოვებულია, რეაგირება დაუყოვნებლივ იწყება: ზარი, შემდეგ დასახელებული პირი, შემდეგ გადაუდებელი სამსახური.</w:t>
      </w:r>
    </w:p>
    <w:p>
      <w:pPr>
        <w:numPr>
          <w:ilvl w:val="0"/>
          <w:numId w:val="1001"/>
        </w:numPr>
        <w:pStyle w:val="Compact"/>
      </w:pPr>
      <w:r>
        <w:t>რეაგირება აღირიცხება.</w:t>
      </w:r>
    </w:p>
    <w:p>
      <w:pPr>
        <w:numPr>
          <w:ilvl w:val="0"/>
          <w:numId w:val="1001"/>
        </w:numPr>
        <w:pStyle w:val="Compact"/>
      </w:pPr>
      <w:r>
        <w:t>დაუყოვნებლივ შეაჩერეთ და მიიღეთ დახმარება, თუ: შემოწმება გამოტოვებულია და რეაგირება არ იწყება.</w:t>
      </w:r>
    </w:p>
    <w:bookmarkStart w:id="24" w:name="purpose"/>
    <w:p>
      <w:pPr>
        <w:pStyle w:val="Heading2"/>
      </w:pPr>
      <w:r>
        <w:t>1. მიზანი</w:t>
      </w:r>
    </w:p>
    <w:p>
      <w:pPr>
        <w:pStyle w:val="FirstParagraph"/>
      </w:pPr>
      <w:r>
        <w:t>იმისთვის, რომ ვინმემ შეამჩნიოს, თუ მარტო მომუშავე მუშაკი ველზე დაშავდა ან ავად გახდა (13.10).</w:t>
      </w:r>
    </w:p>
    <w:bookmarkEnd w:id="24"/>
    <w:bookmarkStart w:id="25" w:name="scope"/>
    <w:p>
      <w:pPr>
        <w:pStyle w:val="Heading2"/>
      </w:pPr>
      <w:r>
        <w:t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საავადმყოფოს კლინიკური და დამხმარე პერსონალი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ადგილები</w:t>
            </w:r>
          </w:p>
        </w:tc>
        <w:tc>
          <w:tcPr/>
          <w:p>
            <w:pPr>
              <w:pStyle w:val="Compact"/>
              <w:jc w:val="left"/>
            </w:pPr>
            <w:r>
              <w:t>დაწესებულების ყველა პალატა, კლინიკა და განყოფილება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 ჯერზე, როცა აღწერილი საქმიანობა ხორციელდება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საქმიანობები, რომლებსაც მე-15 განყოფილებაში ჩამოთვლილი სხვა დოკუმენტი ფარავს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5"/>
    <w:bookmarkStart w:id="26" w:name="definitions"/>
    <w:p>
      <w:pPr>
        <w:pStyle w:val="Heading2"/>
      </w:pPr>
      <w:r>
        <w:t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ექიმი ან ექთანი, რომელიც ამ დროს უძღვება უბანს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background"/>
    <w:p>
      <w:pPr>
        <w:pStyle w:val="Heading2"/>
      </w:pPr>
      <w:r>
        <w:t>4. საფუძვლები</w:t>
      </w:r>
    </w:p>
    <w:p>
      <w:pPr>
        <w:pStyle w:val="FirstParagraph"/>
      </w:pPr>
      <w:r>
        <w:t>თანამშრომელს, რომელიც მარტო მუშაობს ველზე, შეიძლება დაშავდეს ან ავად გახდეს ისე, რომ ვერავინ შეამჩნიოს. დადგენილ დროს შემოწმება და გამოტოვებული შემოწმებისას მკაფიო რეაგირება უზრუნველყოფს, რომ დახმარება მივა.</w:t>
      </w:r>
    </w:p>
    <w:bookmarkEnd w:id="27"/>
    <w:bookmarkStart w:id="28" w:name="responsibilities"/>
    <w:p>
      <w:pPr>
        <w:pStyle w:val="Heading2"/>
      </w:pPr>
      <w:r>
        <w:t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როლი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ხელმძღვანელი საზოგადოებასთან ურთიერთობაზე</w:t>
            </w:r>
          </w:p>
        </w:tc>
        <w:tc>
          <w:tcPr/>
          <w:p>
            <w:pPr>
              <w:pStyle w:val="Compact"/>
              <w:jc w:val="left"/>
            </w:pPr>
            <w:r>
              <w:t>ფლობს შემოწმების წესსა და რეაგირებას</w:t>
            </w:r>
          </w:p>
        </w:tc>
        <w:tc>
          <w:tcPr/>
          <w:p>
            <w:pPr>
              <w:pStyle w:val="Compact"/>
              <w:jc w:val="left"/>
            </w:pPr>
            <w:r>
              <w:t>კლინიცისტი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დასახელებული ბაზის კონტაქტი</w:t>
            </w:r>
          </w:p>
        </w:tc>
        <w:tc>
          <w:tcPr/>
          <w:p>
            <w:pPr>
              <w:pStyle w:val="Compact"/>
              <w:jc w:val="left"/>
            </w:pPr>
            <w:r>
              <w:t>იღებს შემოწმებებს და იწყებს რეაგირებას</w:t>
            </w:r>
          </w:p>
        </w:tc>
        <w:tc>
          <w:tcPr/>
          <w:p>
            <w:pPr>
              <w:pStyle w:val="Compact"/>
              <w:jc w:val="left"/>
            </w:pPr>
            <w:r>
              <w:t>მედდა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materials-and-equipment"/>
    <w:p>
      <w:pPr>
        <w:pStyle w:val="Heading2"/>
      </w:pPr>
      <w:r>
        <w:t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>პირობა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ამ დოკუმენტში დასახელებული ჩანაწერები და ფორმები</w:t>
            </w:r>
          </w:p>
        </w:tc>
        <w:tc>
          <w:tcPr/>
          <w:p>
            <w:pPr>
              <w:pStyle w:val="Compact"/>
              <w:jc w:val="left"/>
            </w:pPr>
            <w:r>
              <w:t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გამოყენებამდე შემოწმებული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9"/>
    <w:bookmarkStart w:id="30" w:name="safety"/>
    <w:p>
      <w:pPr>
        <w:pStyle w:val="Heading2"/>
      </w:pPr>
      <w:r>
        <w:t>7. უსაფრთხოება</w:t>
      </w:r>
    </w:p>
    <w:p>
      <w:pPr>
        <w:numPr>
          <w:ilvl w:val="0"/>
          <w:numId w:val="1002"/>
        </w:numPr>
        <w:pStyle w:val="Compact"/>
      </w:pPr>
      <w:r>
        <w:t>შეაჩერეთ და მოითხოვეთ დახმარება, თუ პაციენტს დაუყოვნებელი საფრთხე ემუქრება. არ დააგვიანოთ გადაუდებელი მოვლა დოკუმენტაციის შევსებისთვის.</w:t>
      </w:r>
    </w:p>
    <w:bookmarkEnd w:id="30"/>
    <w:bookmarkStart w:id="31" w:name="before-you-start"/>
    <w:p>
      <w:pPr>
        <w:pStyle w:val="Heading2"/>
      </w:pPr>
      <w:r>
        <w:t>8. დაწყებამდე</w:t>
      </w:r>
    </w:p>
    <w:p>
      <w:pPr>
        <w:numPr>
          <w:ilvl w:val="0"/>
          <w:numId w:val="1003"/>
        </w:numPr>
        <w:pStyle w:val="Compact"/>
      </w:pPr>
      <w:r>
        <w:t>დაადასტურეთ, რომ ამ დოკუმენტში დასახელებული ფორმები და აღჭურვილობა ხელმისაწვდომი და მიმდინარეა.</w:t>
      </w:r>
    </w:p>
    <w:bookmarkEnd w:id="31"/>
    <w:bookmarkStart w:id="32" w:name="procedure"/>
    <w:p>
      <w:pPr>
        <w:pStyle w:val="Heading2"/>
      </w:pPr>
      <w:r>
        <w:t>9. პროცედურა</w:t>
      </w:r>
    </w:p>
    <w:p>
      <w:pPr>
        <w:pStyle w:val="FirstParagraph"/>
      </w:pPr>
      <w:r>
        <w:t>ეტაპი 1. შეამოწმეთ.</w:t>
      </w:r>
    </w:p>
    <w:p>
      <w:pPr>
        <w:numPr>
          <w:ilvl w:val="0"/>
          <w:numId w:val="1004"/>
        </w:numPr>
        <w:pStyle w:val="Compact"/>
      </w:pPr>
      <w:r>
        <w:t>დაადასტურეთ დადგენილ დროს და აღრიცხეთ MOB-FRM-004-ზე.</w:t>
      </w:r>
    </w:p>
    <w:p>
      <w:pPr>
        <w:pStyle w:val="FirstParagraph"/>
      </w:pPr>
      <w:r>
        <w:rPr>
          <w:bCs/>
          <w:b/>
        </w:rPr>
        <w:t>მთავარი დებულება: დადგენილ დროს.</w:t>
      </w:r>
      <w:r/>
      <w:r/>
    </w:p>
    <w:p>
      <w:pPr>
        <w:pStyle w:val="BodyText"/>
      </w:pPr>
      <w:r>
        <w:t>ეტაპი 2. რეაგირეთ.</w:t>
      </w:r>
    </w:p>
    <w:p>
      <w:pPr>
        <w:numPr>
          <w:ilvl w:val="0"/>
          <w:numId w:val="1005"/>
        </w:numPr>
        <w:pStyle w:val="Compact"/>
      </w:pPr>
      <w:r>
        <w:t>თუ შემოწმება გამოტოვებულია, დარეკეთ მუშაკთან, შემდეგ დასახელებულ პირთან, შემდეგ გადაუდებელ სამსახურთან.</w:t>
      </w:r>
    </w:p>
    <w:p>
      <w:pPr>
        <w:pStyle w:val="FirstParagraph"/>
      </w:pPr>
      <w:r>
        <w:rPr>
          <w:bCs/>
          <w:b/>
        </w:rPr>
        <w:t>მთავარი დებულება: დარეკვა, დასახელებული პირი, გადაუდებელი დახმარება.</w:t>
      </w:r>
      <w:r/>
      <w:r/>
    </w:p>
    <w:p>
      <w:pPr>
        <w:pStyle w:val="BodyText"/>
      </w:pPr>
      <w:r>
        <w:t>ნაბიჯი 3. ჩაწერა.</w:t>
      </w:r>
    </w:p>
    <w:p>
      <w:pPr>
        <w:numPr>
          <w:ilvl w:val="0"/>
          <w:numId w:val="1006"/>
        </w:numPr>
        <w:pStyle w:val="Compact"/>
      </w:pPr>
      <w:r>
        <w:t>აღრიცხეთ გამოტოვებული შემოწმება, რეაგირება და შედეგი.</w:t>
      </w:r>
    </w:p>
    <w:p>
      <w:pPr>
        <w:pStyle w:val="FirstParagraph"/>
      </w:pPr>
      <w:r>
        <w:rPr>
          <w:bCs/>
          <w:b/>
        </w:rPr>
        <w:t>მთავარი დებულება: ყოველი რეაგირება აღირიცხება.</w:t>
      </w:r>
      <w:r/>
      <w:r/>
    </w:p>
    <w:bookmarkEnd w:id="32"/>
    <w:bookmarkStart w:id="33" w:name="decision-points"/>
    <w:p>
      <w:pPr>
        <w:pStyle w:val="Heading2"/>
      </w:pPr>
      <w:r>
        <w:t>10. გადაწყვეტილების წერტილები</w:t>
      </w:r>
    </w:p>
    <w:p>
      <w:pPr>
        <w:numPr>
          <w:ilvl w:val="0"/>
          <w:numId w:val="1007"/>
        </w:numPr>
        <w:pStyle w:val="Compact"/>
      </w:pPr>
      <w:r>
        <w:t>ამ პროცედურაში გადაწყვეტილების წერტილები არ არის.</w:t>
      </w:r>
    </w:p>
    <w:bookmarkEnd w:id="33"/>
    <w:bookmarkStart w:id="34" w:name="special-situations"/>
    <w:p>
      <w:pPr>
        <w:pStyle w:val="Heading2"/>
      </w:pPr>
      <w:r>
        <w:t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არასამუშაო საათები</w:t>
            </w:r>
          </w:p>
        </w:tc>
        <w:tc>
          <w:tcPr/>
          <w:p>
            <w:pPr>
              <w:pStyle w:val="Compact"/>
              <w:jc w:val="left"/>
            </w:pPr>
            <w:r>
              <w:t>მიჰყევით იგივე ნაბიჯებს. გამოიყენეთ მორიგე კონტაქტი, რომელიც ზონის კედელზეა.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4"/>
    <w:bookmarkStart w:id="35" w:name="escalation"/>
    <w:p>
      <w:pPr>
        <w:pStyle w:val="Heading2"/>
      </w:pPr>
      <w:r>
        <w:t>12. ესკალაცია</w:t>
      </w:r>
    </w:p>
    <w:p>
      <w:pPr>
        <w:numPr>
          <w:ilvl w:val="0"/>
          <w:numId w:val="1008"/>
        </w:numPr>
        <w:pStyle w:val="Compact"/>
      </w:pPr>
      <w:r>
        <w:t>ნებისმიერი სერიოზული პრობლემა დაუყოვნებლივ გადაეცემა მორიგე კლინიკურ ხელმძღვანელს და იმავე დღეს კლინიკურ დირექტორს.</w:t>
      </w:r>
    </w:p>
    <w:bookmarkEnd w:id="35"/>
    <w:bookmarkStart w:id="36" w:name="monitoring"/>
    <w:p>
      <w:pPr>
        <w:pStyle w:val="Heading2"/>
      </w:pPr>
      <w:r>
        <w:t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სამიზნე</w:t>
            </w:r>
          </w:p>
        </w:tc>
        <w:tc>
          <w:tcPr/>
          <w:p>
            <w:pPr>
              <w:pStyle w:val="Compact"/>
              <w:jc w:val="left"/>
            </w:pPr>
            <w:r>
              <w:t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შემოწმებები დროულად შესრულდა</w:t>
            </w:r>
          </w:p>
        </w:tc>
        <w:tc>
          <w:tcPr/>
          <w:p>
            <w:pPr>
              <w:pStyle w:val="Compact"/>
              <w:jc w:val="left"/>
            </w:pPr>
            <w:r>
              <w:t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ყოველთვიურად</w:t>
            </w:r>
          </w:p>
        </w:tc>
        <w:tc>
          <w:tcPr/>
          <w:p>
            <w:pPr>
              <w:pStyle w:val="Compact"/>
              <w:jc w:val="left"/>
            </w:pPr>
            <w:r>
              <w:t>ხელმძღვანელი საზოგადოებასთან ურთიერთობაზე</w:t>
            </w:r>
          </w:p>
        </w:tc>
        <w:tc>
          <w:tcPr/>
          <w:p>
            <w:pPr>
              <w:pStyle w:val="Compact"/>
              <w:jc w:val="left"/>
            </w:pPr>
            <w:r>
              <w:t>ესკალაცია კლინიკურ დირექტორთან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6"/>
    <w:bookmarkStart w:id="37" w:name="records"/>
    <w:p>
      <w:pPr>
        <w:pStyle w:val="Heading2"/>
      </w:pPr>
      <w:r>
        <w:t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ამ დოკუმენტში დასახელებული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პაციენტის ჩანაწერი ან ზონის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>დაწესებულების ჩანაწერების პოლიტიკით დადგენილი წლები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7"/>
    <w:bookmarkStart w:id="38" w:name="training"/>
    <w:p>
      <w:pPr>
        <w:pStyle w:val="Heading2"/>
      </w:pPr>
      <w:r>
        <w:t>15. ტრენინგი</w:t>
      </w:r>
    </w:p>
    <w:p>
      <w:pPr>
        <w:numPr>
          <w:ilvl w:val="0"/>
          <w:numId w:val="1009"/>
        </w:numPr>
        <w:pStyle w:val="Compact"/>
      </w:pPr>
      <w:r>
        <w:t>პერსონალი ამ დოკუმენტში ივარჯიშებს ჩართვისას და ყოველ წელს განახლდება, დაფიქსირებული კომპეტენციის შემოწმებით.</w:t>
      </w:r>
    </w:p>
    <w:bookmarkEnd w:id="38"/>
    <w:bookmarkStart w:id="40" w:name="related-documents"/>
    <w:p>
      <w:pPr>
        <w:pStyle w:val="Heading2"/>
      </w:pPr>
      <w:r>
        <w:t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ID</w:t>
            </w:r>
          </w:p>
        </w:tc>
        <w:tc>
          <w:tcPr/>
          <w:p>
            <w:pPr>
              <w:pStyle w:val="Compact"/>
              <w:jc w:val="left"/>
            </w:pPr>
            <w:r>
              <w:t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MOB-FRM-004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მარტოდ მუშაობის შემოწმების ჟურნალი</w:t>
            </w:r>
          </w:p>
        </w:tc>
        <w:tc>
          <w:tcPr/>
          <w:p>
            <w:pPr>
              <w:pStyle w:val="Compact"/>
              <w:jc w:val="left"/>
            </w:pPr>
            <w:r>
              <w:t>ჟურნალი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0"/>
    <w:bookmarkStart w:id="41" w:name="evidence"/>
    <w:p>
      <w:pPr>
        <w:pStyle w:val="Heading2"/>
      </w:pPr>
      <w:r>
        <w:t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დაფუძნებულია WHO-ს კლასიფიკაციასა და მინიმალურ სტანდარტებზე გადაუდებელი სამედიცინო ჯგუფებისთვის (2013).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E-006</w:t>
            </w:r>
          </w:p>
        </w:tc>
        <w:tc>
          <w:tcPr/>
          <w:p>
            <w:pPr>
              <w:pStyle w:val="Compact"/>
              <w:jc w:val="left"/>
            </w:pPr>
            <w:r>
              <w:t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ASF ექსპერტთა კომიტეტის კონსენსუსი.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1"/>
    <w:bookmarkStart w:id="42" w:name="change-history"/>
    <w:p>
      <w:pPr>
        <w:pStyle w:val="Heading2"/>
      </w:pPr>
      <w:r>
        <w:t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2"/>
    <w:bookmarkStart w:id="44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10"/>
        </w:numPr>
        <w:pStyle w:val="Compact"/>
      </w:pPr>
      <w:r>
        <w:t>Accréditation Sans Frontières (2026). ASF Policy Framework v1.2. (E-006)</w:t>
      </w:r>
      <w:r/>
      <w:r/>
    </w:p>
    <w:p>
      <w:pPr>
        <w:numPr>
          <w:ilvl w:val="0"/>
          <w:numId w:val="1010"/>
        </w:numPr>
        <w:pStyle w:val="Compact"/>
      </w:pPr>
      <w:r>
        <w:t>Accréditation Sans Frontières (2026). ASF Expert Committee consensus on Standard 1. (E-009)</w:t>
      </w:r>
      <w:r/>
      <w:r/>
    </w:p>
    <w:p>
      <w:pPr>
        <w:pStyle w:val="FirstParagraph"/>
      </w:pPr>
      <w:hyperlink r:id="rId43">
        <w:r>
          <w:rPr>
            <w:rStyle w:val="Hyperlink"/>
          </w:rPr>
          <w:t xml:space="preserve">Download this document as PDF</w:t>
        </w:r>
      </w:hyperlink>
    </w:p>
    <w:bookmarkEnd w:id="44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39" Type="http://schemas.openxmlformats.org/officeDocument/2006/relationships/hyperlink" Target="/documents/mob-frm-004/" TargetMode="External"/><Relationship Id="rId22" Type="http://schemas.openxmlformats.org/officeDocument/2006/relationships/hyperlink" Target="/resources/sop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3/" TargetMode="External"/><Relationship Id="rId23" Type="http://schemas.openxmlformats.org/officeDocument/2006/relationships/hyperlink" Target="/standards/standard-13/#c13-10" TargetMode="External"/><Relationship Id="rId43" Type="http://schemas.openxmlformats.org/officeDocument/2006/relationships/hyperlink" Target="https://france-asf.fr/wp-content/uploads/2026/10/mob-sop-002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39" Type="http://schemas.openxmlformats.org/officeDocument/2006/relationships/hyperlink" Target="/documents/mob-frm-004/" TargetMode="External"/><Relationship Id="rId22" Type="http://schemas.openxmlformats.org/officeDocument/2006/relationships/hyperlink" Target="/resources/sop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3/" TargetMode="External"/><Relationship Id="rId23" Type="http://schemas.openxmlformats.org/officeDocument/2006/relationships/hyperlink" Target="/standards/standard-13/#c13-10" TargetMode="External"/><Relationship Id="rId43" Type="http://schemas.openxmlformats.org/officeDocument/2006/relationships/hyperlink" Target="https://france-asf.fr/wp-content/uploads/2026/10/mob-sop-00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MOB-SOP-002: Lone working check-in and response</dc:title>
  <dc:creator/>
  <cp:keywords/>
  <dcterms:created xsi:type="dcterms:W3CDTF">2026-10-28T21:33:55Z</dcterms:created>
  <dcterms:modified xsi:type="dcterms:W3CDTF">2026-10-28T21:33:55Z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