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32" w:name="X2225b38542bd355e2e04867fe7158ac3fcf9c15"/>
    <w:p>
      <w:pPr>
        <w:pStyle w:val="Heading1"/>
      </w:pPr>
      <w:r>
        <w:t xml:space="preserve">MTR-FRM-004: გაცემული სამგზავრო დოკუმენტის ჩანაწერი</w:t>
      </w:r>
    </w:p>
    <w:p>
      <w:pPr>
        <w:pStyle w:val="FirstParagraph"/>
      </w:pPr>
      <w:hyperlink r:id="rId20">
        <w:r>
          <w:rPr>
            <w:rStyle w:val="Hyperlink"/>
          </w:rPr>
          <w:t xml:space="preserve">სტანდარტები</w:t>
        </w:r>
      </w:hyperlink>
      <w:r>
        <w:t xml:space="preserve"> </w:t>
      </w:r>
      <w:r>
        <w:t xml:space="preserve">›</w:t>
      </w:r>
      <w:r>
        <w:t xml:space="preserve"> </w:t>
      </w:r>
      <w:hyperlink r:id="rId21">
        <w:r>
          <w:rPr>
            <w:rStyle w:val="Hyperlink"/>
          </w:rPr>
          <w:t xml:space="preserve">სტანდარტი 24</w:t>
        </w:r>
      </w:hyperlink>
      <w:r>
        <w:t xml:space="preserve"> </w:t>
      </w:r>
      <w:r>
        <w:t xml:space="preserve">›</w:t>
      </w:r>
      <w:r>
        <w:t xml:space="preserve"> </w:t>
      </w:r>
      <w:hyperlink r:id="rId22">
        <w:r>
          <w:rPr>
            <w:rStyle w:val="Hyperlink"/>
          </w:rPr>
          <w:t xml:space="preserve">ფორმები</w:t>
        </w:r>
      </w:hyperlink>
    </w:p>
    <w:p>
      <w:pPr>
        <w:pStyle w:val="BodyText"/>
      </w:pPr>
      <w:r>
        <w:t xml:space="preserve">ფორმა · MTR-FRM-004 · ვერსია 1.0 · დამტკიცებულია ASF ექსპერტთა კომიტეტის მიერ</w:t>
      </w:r>
    </w:p>
    <w:p>
      <w:pPr>
        <w:pStyle w:val="BodyText"/>
      </w:pPr>
      <w:r>
        <w:rPr>
          <w:bCs/>
          <w:b/>
        </w:rPr>
        <w:t xml:space="preserve">მხარს უჭერს:</w:t>
      </w:r>
      <w:r>
        <w:t xml:space="preserve"> </w:t>
      </w:r>
      <w:hyperlink r:id="rId23">
        <w:r>
          <w:rPr>
            <w:rStyle w:val="Hyperlink"/>
          </w:rPr>
          <w:t xml:space="preserve">24.6</w:t>
        </w:r>
      </w:hyperlink>
    </w:p>
    <w:bookmarkStart w:id="24" w:name="დანიშნულება"/>
    <w:p>
      <w:pPr>
        <w:pStyle w:val="Heading2"/>
      </w:pPr>
      <w:r>
        <w:t xml:space="preserve">დანიშნულება</w:t>
      </w:r>
    </w:p>
    <w:p>
      <w:pPr>
        <w:pStyle w:val="FirstParagraph"/>
      </w:pPr>
      <w:r>
        <w:t xml:space="preserve">აღნუსხავს პაციენტისთვის გაცემულ ყოველ სამგზავრო დოკუმენტს, დანიშნულების ადგილსა და გაცემის თარიღს.</w:t>
      </w:r>
    </w:p>
    <w:bookmarkEnd w:id="24"/>
    <w:bookmarkStart w:id="25" w:name="როგორ-შევავსოთ"/>
    <w:p>
      <w:pPr>
        <w:pStyle w:val="Heading2"/>
      </w:pPr>
      <w:r>
        <w:t xml:space="preserve">როგორ შევავსოთ</w:t>
      </w:r>
    </w:p>
    <w:p>
      <w:pPr>
        <w:numPr>
          <w:ilvl w:val="0"/>
          <w:numId w:val="1001"/>
        </w:numPr>
        <w:pStyle w:val="Compact"/>
      </w:pPr>
      <w:r>
        <w:t xml:space="preserve">აღნუსხეთ დანიშნულების ადგილი და ყოველი საჭირო დოკუმენტი.</w:t>
      </w:r>
    </w:p>
    <w:p>
      <w:pPr>
        <w:numPr>
          <w:ilvl w:val="0"/>
          <w:numId w:val="1001"/>
        </w:numPr>
        <w:pStyle w:val="Compact"/>
      </w:pPr>
      <w:r>
        <w:t xml:space="preserve">აღნუსხეთ ყოველი დოკუმენტის გაცემის თარიღი.</w:t>
      </w:r>
    </w:p>
    <w:p>
      <w:pPr>
        <w:numPr>
          <w:ilvl w:val="0"/>
          <w:numId w:val="1001"/>
        </w:numPr>
        <w:pStyle w:val="Compact"/>
      </w:pPr>
      <w:r>
        <w:t xml:space="preserve">აღნუსხეთ ნებისმიერი ვარგისობის წერილი და მასზე ხელმომწერი კლინიცისტი.</w:t>
      </w:r>
    </w:p>
    <w:bookmarkEnd w:id="25"/>
    <w:bookmarkStart w:id="26" w:name="შემოწმებები"/>
    <w:p>
      <w:pPr>
        <w:pStyle w:val="Heading2"/>
      </w:pPr>
      <w:r>
        <w:t xml:space="preserve">შემოწმებები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შემოწმება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ჩანაწერი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პაციენტი (ID) და დანიშნულების ადგილი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დიახ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საჭირო დოკუმენტები (სია)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დიახ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გაცემულია (თარიღი)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დიახ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ვარგისობის წერილი (გაცემული კლინიცისტის მიერ)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დიახ</w:t>
            </w:r>
          </w:p>
        </w:tc>
      </w:tr>
    </w:tbl>
    <w:bookmarkEnd w:id="26"/>
    <w:bookmarkStart w:id="27" w:name="მტკიცებულებები"/>
    <w:p>
      <w:pPr>
        <w:pStyle w:val="Heading2"/>
      </w:pPr>
      <w:r>
        <w:t xml:space="preserve">მტკიცებულებები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მითითება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შენიშვნა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ეფუძნება WHO-ს Patient Safety Curriculum Guide-ს (2011) და NICE-ის სახელმძღვანელოს ვენური თრომბოემბოლიური დაავადებების შესახებ (NG158, 2020).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ASF Policy Framework v1.2. Adapted.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ASF Expert Committee consensus.</w:t>
            </w:r>
          </w:p>
        </w:tc>
      </w:tr>
    </w:tbl>
    <w:bookmarkEnd w:id="27"/>
    <w:bookmarkStart w:id="28" w:name="ცვლილებების-ისტორია"/>
    <w:p>
      <w:pPr>
        <w:pStyle w:val="Heading2"/>
      </w:pPr>
      <w:r>
        <w:t xml:space="preserve">ცვლილებების ისტორია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980"/>
        <w:gridCol w:w="1980"/>
        <w:gridCol w:w="1980"/>
        <w:gridCol w:w="198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რა შეიცვალა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დამტკიცება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პირველი ვერსია</w:t>
            </w:r>
          </w:p>
        </w:tc>
        <w:tc>
          <w:tcPr/>
          <w:p>
            <w:pPr>
              <w:pStyle w:val="Compact"/>
            </w:pPr>
          </w:p>
        </w:tc>
      </w:tr>
    </w:tbl>
    <w:bookmarkEnd w:id="28"/>
    <w:bookmarkStart w:id="30" w:name="ამ-დოკუმენტის-ელექტრონული-სწავლება"/>
    <w:p>
      <w:pPr>
        <w:pStyle w:val="Heading2"/>
      </w:pPr>
      <w:r>
        <w:t xml:space="preserve">ამ დოკუმენტის ელექტრონული სწავლება</w:t>
      </w:r>
    </w:p>
    <w:p>
      <w:pPr>
        <w:numPr>
          <w:ilvl w:val="0"/>
          <w:numId w:val="1002"/>
        </w:numPr>
        <w:pStyle w:val="Compact"/>
      </w:pPr>
      <w:hyperlink r:id="rId29">
        <w:r>
          <w:rPr>
            <w:rStyle w:val="Hyperlink"/>
          </w:rPr>
          <w:t xml:space="preserve">Medical Tourism Coordination for Clinics</w:t>
        </w:r>
      </w:hyperlink>
      <w:r>
        <w:t xml:space="preserve"> </w:t>
      </w:r>
      <w:r>
        <w:t xml:space="preserve">(AMB-24)</w:t>
      </w:r>
    </w:p>
    <w:bookmarkEnd w:id="30"/>
    <w:bookmarkStart w:id="31" w:name="წყაროები"/>
    <w:p>
      <w:pPr>
        <w:pStyle w:val="Heading2"/>
      </w:pPr>
      <w:r>
        <w:t xml:space="preserve">წყაროები</w:t>
      </w:r>
    </w:p>
    <w:p>
      <w:pPr>
        <w:numPr>
          <w:ilvl w:val="0"/>
          <w:numId w:val="1003"/>
        </w:numPr>
        <w:pStyle w:val="Compact"/>
      </w:pPr>
      <w:r>
        <w:t xml:space="preserve">Accréditation Sans Frontières (2026). ASF Policy Framework v1.2.</w:t>
      </w:r>
      <w:r>
        <w:t xml:space="preserve"> </w:t>
      </w:r>
      <w:r>
        <w:t xml:space="preserve">(E-006)</w:t>
      </w:r>
    </w:p>
    <w:p>
      <w:pPr>
        <w:numPr>
          <w:ilvl w:val="0"/>
          <w:numId w:val="1003"/>
        </w:numPr>
        <w:pStyle w:val="Compact"/>
      </w:pPr>
      <w:r>
        <w:t xml:space="preserve">Accréditation Sans Frontières (2026). ASF Expert Committee consensus on Standard 1.</w:t>
      </w:r>
      <w:r>
        <w:t xml:space="preserve"> </w:t>
      </w:r>
      <w:r>
        <w:t xml:space="preserve">(E-009)</w:t>
      </w:r>
    </w:p>
    <w:bookmarkEnd w:id="31"/>
    <w:bookmarkEnd w:id="32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  <w:rPr>
      <w:rFonts w:ascii="Sylfaen" w:hAnsi="Sylfaen"/>
    </w:rPr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 w:ascii="Sylfaen" w:hAnsi="Sylfaen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jc w:val="center"/>
      <w:spacing w:after="0" w:before="300"/>
    </w:pPr>
    <w:rPr>
      <w:sz w:val="20"/>
      <w:szCs w:val="20"/>
      <w:b/>
      <w:color w:val="345A8A"/>
      &gt;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openxmlformats.org/officeDocument/2006/relationships/footnotes" Target="footnotes.xml"/><Relationship Id="rId8" Type="http://schemas.openxmlformats.org/officeDocument/2006/relationships/comments" Target="comments.xml"/><Relationship Id="rId22" Type="http://schemas.openxmlformats.org/officeDocument/2006/relationships/hyperlink" Target="/ka/resources/forms/" TargetMode="External"/><Relationship Id="rId20" Type="http://schemas.openxmlformats.org/officeDocument/2006/relationships/hyperlink" Target="/ka/standards/" TargetMode="External"/><Relationship Id="rId21" Type="http://schemas.openxmlformats.org/officeDocument/2006/relationships/hyperlink" Target="/ka/standards/standard-24/" TargetMode="External"/><Relationship Id="rId23" Type="http://schemas.openxmlformats.org/officeDocument/2006/relationships/hyperlink" Target="/ka/standards/standard-24/#c24-6" TargetMode="External"/><Relationship Id="rId29" Type="http://schemas.openxmlformats.org/officeDocument/2006/relationships/hyperlink" Target="https://academy.gmj.ge/courses/asf-amb-24-en/" TargetMode="External"/></Relationships>
</file>

<file path=word/_rels/footnotes.xml.rels><?xml version='1.0' encoding='UTF-8' standalone='yes'?>
<Relationships xmlns="http://schemas.openxmlformats.org/package/2006/relationships"><Relationship Id="rId22" Type="http://schemas.openxmlformats.org/officeDocument/2006/relationships/hyperlink" Target="/ka/resources/forms/" TargetMode="External"/><Relationship Id="rId20" Type="http://schemas.openxmlformats.org/officeDocument/2006/relationships/hyperlink" Target="/ka/standards/" TargetMode="External"/><Relationship Id="rId21" Type="http://schemas.openxmlformats.org/officeDocument/2006/relationships/hyperlink" Target="/ka/standards/standard-24/" TargetMode="External"/><Relationship Id="rId23" Type="http://schemas.openxmlformats.org/officeDocument/2006/relationships/hyperlink" Target="/ka/standards/standard-24/#c24-6" TargetMode="External"/><Relationship Id="rId29" Type="http://schemas.openxmlformats.org/officeDocument/2006/relationships/hyperlink" Target="https://academy.gmj.ge/courses/asf-amb-24-e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2026-11-07T01:21:24Z</dcterms:created>
  <dcterms:modified xsi:type="dcterms:W3CDTF">2026-11-07T01:21:24Z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