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MTR-POL-004:</w:t>
      </w:r>
      <w:r>
        <w:t xml:space="preserve"> </w:t>
      </w:r>
      <w:r>
        <w:t xml:space="preserve">ფასილიტატორისა</w:t>
      </w:r>
      <w:r>
        <w:t xml:space="preserve"> </w:t>
      </w:r>
      <w:r>
        <w:t xml:space="preserve">და</w:t>
      </w:r>
      <w:r>
        <w:t xml:space="preserve"> </w:t>
      </w:r>
      <w:r>
        <w:t xml:space="preserve">აგენტის</w:t>
      </w:r>
      <w:r>
        <w:t xml:space="preserve"> </w:t>
      </w:r>
      <w:r>
        <w:t xml:space="preserve">სტანდარტი</w:t>
      </w:r>
    </w:p>
    <w:bookmarkStart w:id="46" w:name="X461cbf8f55877cc48c766a17b00aeb34053ac4a"/>
    <w:p>
      <w:pPr>
        <w:pStyle w:val="Heading1"/>
      </w:pPr>
      <w:r>
        <w:t xml:space="preserve">MTR-POL-004: ფასილიტატორისა და აგენტის სტანდარტი</w:t>
      </w:r>
    </w:p>
    <w:p>
      <w:pPr>
        <w:pStyle w:val="FirstParagraph"/>
      </w:pPr>
      <w:hyperlink r:id="rId20">
        <w:r>
          <w:rPr>
            <w:rStyle w:val="Hyperlink"/>
          </w:rPr>
          <w:t xml:space="preserve">სტანდარტები</w:t>
        </w:r>
      </w:hyperlink>
      <w:r>
        <w:t xml:space="preserve"> </w:t>
      </w:r>
      <w:r>
        <w:t xml:space="preserve">›</w:t>
      </w:r>
      <w:r>
        <w:t xml:space="preserve"> </w:t>
      </w:r>
      <w:hyperlink r:id="rId21">
        <w:r>
          <w:rPr>
            <w:rStyle w:val="Hyperlink"/>
          </w:rPr>
          <w:t xml:space="preserve">სტანდარტი 24</w:t>
        </w:r>
      </w:hyperlink>
      <w:r>
        <w:t xml:space="preserve"> </w:t>
      </w:r>
      <w:r>
        <w:t xml:space="preserve">›</w:t>
      </w:r>
      <w:r>
        <w:t xml:space="preserve"> </w:t>
      </w:r>
      <w:hyperlink r:id="rId22">
        <w:r>
          <w:rPr>
            <w:rStyle w:val="Hyperlink"/>
          </w:rPr>
          <w:t xml:space="preserve">პოლიტიკები</w:t>
        </w:r>
      </w:hyperlink>
    </w:p>
    <w:p>
      <w:pPr>
        <w:pStyle w:val="BodyText"/>
      </w:pPr>
      <w:r>
        <w:t xml:space="preserve">პოლიტიკა · MTR-POL-004 · ვერსია 1.0 · დამტკიცებულია ASF ექსპერტთა კომიტეტის მიერ</w:t>
      </w:r>
    </w:p>
    <w:p>
      <w:pPr>
        <w:pStyle w:val="BodyText"/>
      </w:pPr>
      <w:r>
        <w:rPr>
          <w:bCs/>
          <w:b/>
        </w:rPr>
        <w:t xml:space="preserve">მხარს უჭერს:</w:t>
      </w:r>
      <w:r>
        <w:t xml:space="preserve"> </w:t>
      </w:r>
      <w:hyperlink r:id="rId23">
        <w:r>
          <w:rPr>
            <w:rStyle w:val="Hyperlink"/>
          </w:rPr>
          <w:t xml:space="preserve">24.8</w:t>
        </w:r>
      </w:hyperlink>
    </w:p>
    <w:p>
      <w:pPr>
        <w:pStyle w:val="BodyText"/>
      </w:pPr>
      <w:r>
        <w:t xml:space="preserve">მოკლედ</w:t>
      </w:r>
    </w:p>
    <w:p>
      <w:pPr>
        <w:numPr>
          <w:ilvl w:val="0"/>
          <w:numId w:val="1001"/>
        </w:numPr>
        <w:pStyle w:val="Compact"/>
      </w:pPr>
      <w:r>
        <w:t xml:space="preserve">ყოველი ფასილიტატორი ან აგენტი მოწმდება პირველი პაციენტის მიმართვამდე და აწერს წერილობით შეთანხმებას.</w:t>
      </w:r>
    </w:p>
    <w:p>
      <w:pPr>
        <w:numPr>
          <w:ilvl w:val="0"/>
          <w:numId w:val="1001"/>
        </w:numPr>
        <w:pStyle w:val="Compact"/>
      </w:pPr>
      <w:r>
        <w:t xml:space="preserve">შეთანხმებით განისაზღვრება ქცევის სტანდარტი და კლინიკის მიერ შეთანხმებული საფასურები.</w:t>
      </w:r>
    </w:p>
    <w:p>
      <w:pPr>
        <w:numPr>
          <w:ilvl w:val="0"/>
          <w:numId w:val="1001"/>
        </w:numPr>
        <w:pStyle w:val="Compact"/>
      </w:pPr>
      <w:r>
        <w:t xml:space="preserve">პაციენტს არ ეკისრება საფასური, რომელზეც კლინიკას წერილობით არ შეუთანხმებია.</w:t>
      </w:r>
    </w:p>
    <w:p>
      <w:pPr>
        <w:numPr>
          <w:ilvl w:val="0"/>
          <w:numId w:val="1001"/>
        </w:numPr>
        <w:pStyle w:val="Compact"/>
      </w:pPr>
      <w:r>
        <w:t xml:space="preserve">ყოველი აგენტი ყოველწლიურად კვლავ მოწმდება (MTR-REG-004).</w:t>
      </w:r>
    </w:p>
    <w:p>
      <w:pPr>
        <w:numPr>
          <w:ilvl w:val="0"/>
          <w:numId w:val="1001"/>
        </w:numPr>
        <w:pStyle w:val="Compact"/>
      </w:pPr>
      <w:r>
        <w:t xml:space="preserve">დაუყოვნებლივ შეაჩერეთ და მიიღეთ დახმარება, თუ: აგენტი პაციენტებს ასაღებს საფასურს, რომელზეც კლინიკა არასდროს შეთანხმებია.</w:t>
      </w:r>
    </w:p>
    <w:bookmarkStart w:id="24" w:name="მიზანი"/>
    <w:p>
      <w:pPr>
        <w:pStyle w:val="Heading2"/>
      </w:pPr>
      <w:r>
        <w:t xml:space="preserve">1. მიზანი</w:t>
      </w:r>
    </w:p>
    <w:p>
      <w:pPr>
        <w:pStyle w:val="FirstParagraph"/>
      </w:pPr>
      <w:r>
        <w:t xml:space="preserve">იმის უზრუნველსაყოფად, რომ ყოველი ფასილიტატორი ან აგენტი იყოს შემოწმებული, შეკრული ქცევის წერილობითი სტანდარტით და კლინიკის წინაშე ანგარიშვალდებული (24.8).</w:t>
      </w:r>
    </w:p>
    <w:bookmarkEnd w:id="24"/>
    <w:bookmarkStart w:id="25" w:name="მოქმედების-სფერო"/>
    <w:p>
      <w:pPr>
        <w:pStyle w:val="Heading2"/>
      </w:pPr>
      <w:r>
        <w:t xml:space="preserve">2. მოქმედების სფერო</w:t>
      </w:r>
    </w:p>
    <w:tbl>
      <w:tblPr>
        <w:tblStyle w:val="Table"/>
        <w:tblW w:type="auto" w:w="0"/>
        <w:tblLook w:firstRow="0" w:lastRow="0" w:firstColumn="0" w:lastColumn="0" w:noHBand="0" w:noVBand="0" w:val="0000"/>
        <w:jc w:val="start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t xml:space="preserve">ვრცელდება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საავადმყოფოს კლინიკური და დამხმარე პერსონალი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ადგილები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დაწესებულების ყველა პალატა, კლინიკა და განყოფილება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როდის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ყოველთვის, როცა აღწერილი საქმიანობა სრულდება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არ ვრცელდება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საქმიანობა, რომელიც მოცემულია სხვა დოკუმენტში, ჩამოთვლილში მე-15 განყოფილებაში</w:t>
            </w:r>
          </w:p>
        </w:tc>
      </w:tr>
    </w:tbl>
    <w:bookmarkEnd w:id="25"/>
    <w:bookmarkStart w:id="26" w:name="განმარტებები"/>
    <w:p>
      <w:pPr>
        <w:pStyle w:val="Heading2"/>
      </w:pPr>
      <w:r>
        <w:t xml:space="preserve">3. განმარტებები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ტერმინი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მნიშვნელობა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კლინიკური ხელმძღვანელი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ექიმი ან ექთანი, რომელიც იმ დროს პასუხობს ამ მიმართულებაზე</w:t>
            </w:r>
          </w:p>
        </w:tc>
      </w:tr>
    </w:tbl>
    <w:bookmarkEnd w:id="26"/>
    <w:bookmarkStart w:id="27" w:name="ფონი"/>
    <w:p>
      <w:pPr>
        <w:pStyle w:val="Heading2"/>
      </w:pPr>
      <w:r>
        <w:t xml:space="preserve">4. ფონი</w:t>
      </w:r>
    </w:p>
    <w:p>
      <w:pPr>
        <w:pStyle w:val="FirstParagraph"/>
      </w:pPr>
      <w:r>
        <w:t xml:space="preserve">ფასილიტატორმა ან აგენტმა, რომელიც პაციენტებს კლინიკაში მოჰყავს, შეიძლება დაჰპირდეს იმას, რისი შესრულებაც კლინიკას არ შეუძლია, ან მოიკრიბოს თანხა მომსახურების გარეშე. კლინიკა პასუხისმგებელია იმაზე, ვისთან მუშაობს.</w:t>
      </w:r>
    </w:p>
    <w:bookmarkEnd w:id="27"/>
    <w:bookmarkStart w:id="28" w:name="პასუხისმგებლობები"/>
    <w:p>
      <w:pPr>
        <w:pStyle w:val="Heading2"/>
      </w:pPr>
      <w:r>
        <w:t xml:space="preserve">5. პასუხისმგებლობები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როლი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პასუხისმგებლობა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კომპეტენცია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საერთაშორისო პაციენტების კოორდინატორი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ამოწმებს და ინახავს შეთანხმებებს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მენეჯერი</w:t>
            </w:r>
          </w:p>
        </w:tc>
      </w:tr>
    </w:tbl>
    <w:bookmarkEnd w:id="28"/>
    <w:bookmarkStart w:id="29" w:name="მასალები-და-აღჭურვილობა"/>
    <w:p>
      <w:pPr>
        <w:pStyle w:val="Heading2"/>
      </w:pPr>
      <w:r>
        <w:t xml:space="preserve">6. მასალები და აღჭურვილობა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ერთეული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მოთხოვნა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მდგომარეობა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ამ დოკუმენტში დასახელებული ჩანაწერები და ფორმები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მიმდინარე ვერსია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მოწმდება გამოყენებამდე</w:t>
            </w:r>
          </w:p>
        </w:tc>
      </w:tr>
    </w:tbl>
    <w:bookmarkEnd w:id="29"/>
    <w:bookmarkStart w:id="30" w:name="უსაფრთხოება"/>
    <w:p>
      <w:pPr>
        <w:pStyle w:val="Heading2"/>
      </w:pPr>
      <w:r>
        <w:t xml:space="preserve">7. უსაფრთხოება</w:t>
      </w:r>
    </w:p>
    <w:p>
      <w:pPr>
        <w:numPr>
          <w:ilvl w:val="0"/>
          <w:numId w:val="1002"/>
        </w:numPr>
        <w:pStyle w:val="Compact"/>
      </w:pPr>
      <w:r>
        <w:t xml:space="preserve">თუ პაციენტს დაუყოვნებლივი რისკი ემუქრება, შეაჩერეთ და მოუხმეთ დახმარებას. არ გადადოთ გადაუდებელი მკურნალობა დოკუმენტაციის შევსებისთვის.</w:t>
      </w:r>
    </w:p>
    <w:bookmarkEnd w:id="30"/>
    <w:bookmarkStart w:id="31" w:name="დაწყებამდე"/>
    <w:p>
      <w:pPr>
        <w:pStyle w:val="Heading2"/>
      </w:pPr>
      <w:r>
        <w:t xml:space="preserve">8. დაწყებამდე</w:t>
      </w:r>
    </w:p>
    <w:p>
      <w:pPr>
        <w:numPr>
          <w:ilvl w:val="0"/>
          <w:numId w:val="1003"/>
        </w:numPr>
        <w:pStyle w:val="Compact"/>
      </w:pPr>
      <w:r>
        <w:t xml:space="preserve">დაადასტურეთ, რომ ამ დოკუმენტში დასახელებული ფორმები და აღჭურვილობა ხელმისაწვდომია და მიმდინარეა.</w:t>
      </w:r>
    </w:p>
    <w:bookmarkEnd w:id="31"/>
    <w:bookmarkStart w:id="32" w:name="პროცედურა"/>
    <w:p>
      <w:pPr>
        <w:pStyle w:val="Heading2"/>
      </w:pPr>
      <w:r>
        <w:t xml:space="preserve">9. პროცედურა</w:t>
      </w:r>
    </w:p>
    <w:p>
      <w:pPr>
        <w:pStyle w:val="FirstParagraph"/>
      </w:pPr>
      <w:r>
        <w:t xml:space="preserve">ნაბიჯი 1. შემოწმება.</w:t>
      </w:r>
    </w:p>
    <w:p>
      <w:pPr>
        <w:numPr>
          <w:ilvl w:val="0"/>
          <w:numId w:val="1004"/>
        </w:numPr>
        <w:pStyle w:val="Compact"/>
      </w:pPr>
      <w:r>
        <w:t xml:space="preserve">შეამოწმეთ ყოველი აგენტი პირველ მიმართვამდე.</w:t>
      </w:r>
    </w:p>
    <w:p>
      <w:pPr>
        <w:pStyle w:val="FirstParagraph"/>
      </w:pPr>
      <w:r>
        <w:rPr>
          <w:bCs/>
          <w:b/>
        </w:rPr>
        <w:t xml:space="preserve">მთავარი პუნქტი:</w:t>
      </w:r>
      <w:r>
        <w:t xml:space="preserve"> </w:t>
      </w:r>
      <w:r>
        <w:t xml:space="preserve">შემოწმებულია.</w:t>
      </w:r>
    </w:p>
    <w:p>
      <w:pPr>
        <w:pStyle w:val="BodyText"/>
      </w:pPr>
      <w:r>
        <w:t xml:space="preserve">ნაბიჯი 2. წერილობითი შეთანხმება.</w:t>
      </w:r>
    </w:p>
    <w:p>
      <w:pPr>
        <w:numPr>
          <w:ilvl w:val="0"/>
          <w:numId w:val="1005"/>
        </w:numPr>
        <w:pStyle w:val="Compact"/>
      </w:pPr>
      <w:r>
        <w:t xml:space="preserve">მოაწერეთ ხელი წერილობით შეთანხმებას ქცევის სტანდარტითა და შეთანხმებული საფასურებით.</w:t>
      </w:r>
    </w:p>
    <w:p>
      <w:pPr>
        <w:pStyle w:val="FirstParagraph"/>
      </w:pPr>
      <w:r>
        <w:rPr>
          <w:bCs/>
          <w:b/>
        </w:rPr>
        <w:t xml:space="preserve">მთავარი პუნქტი:</w:t>
      </w:r>
      <w:r>
        <w:t xml:space="preserve"> </w:t>
      </w:r>
      <w:r>
        <w:t xml:space="preserve">წერილობით შეთანხმებულია.</w:t>
      </w:r>
    </w:p>
    <w:p>
      <w:pPr>
        <w:pStyle w:val="BodyText"/>
      </w:pPr>
      <w:r>
        <w:t xml:space="preserve">ნაბიჯი 3. ყოველწლიური ხელახალი შემოწმება.</w:t>
      </w:r>
    </w:p>
    <w:p>
      <w:pPr>
        <w:numPr>
          <w:ilvl w:val="0"/>
          <w:numId w:val="1006"/>
        </w:numPr>
        <w:pStyle w:val="Compact"/>
      </w:pPr>
      <w:r>
        <w:t xml:space="preserve">ყოველწლიურად ხელახლა შეამოწმეთ ყოველი აგენტი და განაახლეთ MTR-REG-004.</w:t>
      </w:r>
    </w:p>
    <w:p>
      <w:pPr>
        <w:pStyle w:val="FirstParagraph"/>
      </w:pPr>
      <w:r>
        <w:rPr>
          <w:bCs/>
          <w:b/>
        </w:rPr>
        <w:t xml:space="preserve">მთავარი პუნქტი:</w:t>
      </w:r>
      <w:r>
        <w:t xml:space="preserve"> </w:t>
      </w:r>
      <w:r>
        <w:t xml:space="preserve">ხელახლა შემოწმებულია.</w:t>
      </w:r>
    </w:p>
    <w:bookmarkEnd w:id="32"/>
    <w:bookmarkStart w:id="33" w:name="გადაწყვეტილების-წერტილები"/>
    <w:p>
      <w:pPr>
        <w:pStyle w:val="Heading2"/>
      </w:pPr>
      <w:r>
        <w:t xml:space="preserve">10. გადაწყვეტილების წერტილები</w:t>
      </w:r>
    </w:p>
    <w:p>
      <w:pPr>
        <w:numPr>
          <w:ilvl w:val="0"/>
          <w:numId w:val="1007"/>
        </w:numPr>
        <w:pStyle w:val="Compact"/>
      </w:pPr>
      <w:r>
        <w:t xml:space="preserve">ამ პროცედურაში გადაწყვეტილების წერტილები არ არის.</w:t>
      </w:r>
    </w:p>
    <w:bookmarkEnd w:id="33"/>
    <w:bookmarkStart w:id="34" w:name="განსაკუთრებული-სიტუაციები"/>
    <w:p>
      <w:pPr>
        <w:pStyle w:val="Heading2"/>
      </w:pPr>
      <w:r>
        <w:t xml:space="preserve">11. განსაკუთრებული სიტუაციები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სიტუაცია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მოქმედება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სამუშაო საათების გარეთ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მიჰყევით იგივე ნაბიჯებს. გამოიყენეთ დეჟურის საკონტაქტო ინფორმაცია ამ მიმართულების კედელზე.</w:t>
            </w:r>
          </w:p>
        </w:tc>
      </w:tr>
    </w:tbl>
    <w:bookmarkEnd w:id="34"/>
    <w:bookmarkStart w:id="35" w:name="ესკალაცია"/>
    <w:p>
      <w:pPr>
        <w:pStyle w:val="Heading2"/>
      </w:pPr>
      <w:r>
        <w:t xml:space="preserve">12. ესკალაცია</w:t>
      </w:r>
    </w:p>
    <w:p>
      <w:pPr>
        <w:numPr>
          <w:ilvl w:val="0"/>
          <w:numId w:val="1008"/>
        </w:numPr>
        <w:pStyle w:val="Compact"/>
      </w:pPr>
      <w:r>
        <w:t xml:space="preserve">ყოველი სერიოზული პრობლემა დაუყოვნებლივ გადაეცემა დეჟურ კლინიკურ ხელმძღვანელს, იმავე დღეს კი — კლინიკურ დირექტორს.</w:t>
      </w:r>
    </w:p>
    <w:bookmarkEnd w:id="35"/>
    <w:bookmarkStart w:id="36" w:name="მონიტორინგი"/>
    <w:p>
      <w:pPr>
        <w:pStyle w:val="Heading2"/>
      </w:pPr>
      <w:r>
        <w:t xml:space="preserve">13. მონიტორინგი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ზომა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სამიზნე მაჩვენებელი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სიხშირე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პასუხისმგებელი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თუ არ შესრულდა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აგენტები, შემოწმებული და ხელმოწერილი შეთანხმებით მიმართვამდე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100%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წელიწადში ერთხელ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საერთაშორისო პაციენტების კოორდინატორი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გადაეცით სამედიცინო დირექტორს</w:t>
            </w:r>
          </w:p>
        </w:tc>
      </w:tr>
    </w:tbl>
    <w:bookmarkEnd w:id="36"/>
    <w:bookmarkStart w:id="37" w:name="ჩანაწერები"/>
    <w:p>
      <w:pPr>
        <w:pStyle w:val="Heading2"/>
      </w:pPr>
      <w:r>
        <w:t xml:space="preserve">14. ჩანაწერები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ჩანაწერი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ინახება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შენახვის ვადა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ამ დოკუმენტში დასახელებული ჩანაწერი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პაციენტის ჩანაწერი ან მიმართულების ფაილი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დაწესებულების ჩანაწერების პოლიტიკით დადგენილი პერიოდი, წლები</w:t>
            </w:r>
          </w:p>
        </w:tc>
      </w:tr>
    </w:tbl>
    <w:bookmarkEnd w:id="37"/>
    <w:bookmarkStart w:id="38" w:name="სწავლება"/>
    <w:p>
      <w:pPr>
        <w:pStyle w:val="Heading2"/>
      </w:pPr>
      <w:r>
        <w:t xml:space="preserve">15. სწავლება</w:t>
      </w:r>
    </w:p>
    <w:p>
      <w:pPr>
        <w:numPr>
          <w:ilvl w:val="0"/>
          <w:numId w:val="1009"/>
        </w:numPr>
        <w:pStyle w:val="Compact"/>
      </w:pPr>
      <w:r>
        <w:t xml:space="preserve">პერსონალი ამ დოკუმენტში გადამზადდება ჩართვისას და ყოველწლიურად განახლდება ჩაწერილი კომპეტენციის შემოწმებით.</w:t>
      </w:r>
    </w:p>
    <w:bookmarkEnd w:id="38"/>
    <w:bookmarkStart w:id="40" w:name="დაკავშირებული-დოკუმენტები"/>
    <w:p>
      <w:pPr>
        <w:pStyle w:val="Heading2"/>
      </w:pPr>
      <w:r>
        <w:t xml:space="preserve">16. დაკავშირებული დოკუმენტები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ID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სათაური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გამოყენება</w:t>
            </w:r>
          </w:p>
        </w:tc>
      </w:tr>
      <w:tr>
        <w:tc>
          <w:tcPr/>
          <w:p>
            <w:pPr>
              <w:pStyle w:val="Compact"/>
              <w:jc w:val="left"/>
            </w:pPr>
            <w:hyperlink r:id="rId39">
              <w:r>
                <w:rPr>
                  <w:rStyle w:val="Hyperlink"/>
                </w:rPr>
                <w:t xml:space="preserve">MTR-REG-004</w:t>
              </w:r>
            </w:hyperlink>
          </w:p>
        </w:tc>
        <w:tc>
          <w:tcPr/>
          <w:p>
            <w:pPr>
              <w:pStyle w:val="Compact"/>
              <w:jc w:val="left"/>
            </w:pPr>
            <w:r>
              <w:t xml:space="preserve">შემოწმებული აგენტების რეგისტრი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რეგისტრი</w:t>
            </w:r>
          </w:p>
        </w:tc>
      </w:tr>
    </w:tbl>
    <w:bookmarkEnd w:id="40"/>
    <w:bookmarkStart w:id="41" w:name="მტკიცებულებები"/>
    <w:p>
      <w:pPr>
        <w:pStyle w:val="Heading2"/>
      </w:pPr>
      <w:r>
        <w:t xml:space="preserve">17. მტკიცებულებები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წყარო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შენიშვნა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E-009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დაფუძნებულია WHO-ს Patient Safety Curriculum Guide-ზე (2011) და NICE-ის სახელმძღვანელოზე ვენური თრომბოემბოლური დაავადებების შესახებ (NG158, 2020).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E-006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ASF Policy Framework v1.2. ადაპტირებული.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E-009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ASF ექსპერტთა კომიტეტის კონსენსუსი.</w:t>
            </w:r>
          </w:p>
        </w:tc>
      </w:tr>
    </w:tbl>
    <w:bookmarkEnd w:id="41"/>
    <w:bookmarkStart w:id="42" w:name="ცვლილებების-ისტორია"/>
    <w:p>
      <w:pPr>
        <w:pStyle w:val="Heading2"/>
      </w:pPr>
      <w:r>
        <w:t xml:space="preserve">18. ცვლილებების ისტორია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ვერსია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თარიღი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რა შეიცვალა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დამტკიცება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1.0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პირველი ვერსია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ASF ექსპერტთა კომიტეტის დამტკიცება</w:t>
            </w:r>
          </w:p>
        </w:tc>
      </w:tr>
    </w:tbl>
    <w:bookmarkEnd w:id="42"/>
    <w:bookmarkStart w:id="44" w:name="ამ-დოკუმენტის-ელექტრონული-სწავლება"/>
    <w:p>
      <w:pPr>
        <w:pStyle w:val="Heading2"/>
      </w:pPr>
      <w:r>
        <w:t xml:space="preserve">ამ დოკუმენტის ელექტრონული სწავლება</w:t>
      </w:r>
    </w:p>
    <w:p>
      <w:pPr>
        <w:numPr>
          <w:ilvl w:val="0"/>
          <w:numId w:val="1010"/>
        </w:numPr>
        <w:pStyle w:val="Compact"/>
      </w:pPr>
      <w:hyperlink r:id="rId43">
        <w:r>
          <w:rPr>
            <w:rStyle w:val="Hyperlink"/>
          </w:rPr>
          <w:t xml:space="preserve">Medical Tourism Coordination for Clinics</w:t>
        </w:r>
      </w:hyperlink>
      <w:r>
        <w:t xml:space="preserve"> </w:t>
      </w:r>
      <w:r>
        <w:t xml:space="preserve">(AMB-24)</w:t>
      </w:r>
    </w:p>
    <w:bookmarkEnd w:id="44"/>
    <w:bookmarkStart w:id="45" w:name="წყაროები"/>
    <w:p>
      <w:pPr>
        <w:pStyle w:val="Heading2"/>
      </w:pPr>
      <w:r>
        <w:t xml:space="preserve">წყაროები</w:t>
      </w:r>
    </w:p>
    <w:p>
      <w:pPr>
        <w:numPr>
          <w:ilvl w:val="0"/>
          <w:numId w:val="1011"/>
        </w:numPr>
        <w:pStyle w:val="Compact"/>
      </w:pPr>
      <w:r>
        <w:t xml:space="preserve">Accréditation Sans Frontières (2026). ASF Policy Framework v1.2.</w:t>
      </w:r>
      <w:r>
        <w:t xml:space="preserve"> </w:t>
      </w:r>
      <w:r>
        <w:t xml:space="preserve">(E-006)</w:t>
      </w:r>
    </w:p>
    <w:p>
      <w:pPr>
        <w:numPr>
          <w:ilvl w:val="0"/>
          <w:numId w:val="1011"/>
        </w:numPr>
        <w:pStyle w:val="Compact"/>
      </w:pPr>
      <w:r>
        <w:t xml:space="preserve">Accréditation Sans Frontières (2026). ASF Expert Committee consensus on Standard 1.</w:t>
      </w:r>
      <w:r>
        <w:t xml:space="preserve"> </w:t>
      </w:r>
      <w:r>
        <w:t xml:space="preserve">(E-009)</w:t>
      </w:r>
    </w:p>
    <w:bookmarkEnd w:id="45"/>
    <w:bookmarkEnd w:id="4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ka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39" Target="/documents/mtr-reg-004/" TargetMode="External" /><Relationship Type="http://schemas.openxmlformats.org/officeDocument/2006/relationships/hyperlink" Id="rId22" Target="/ka/resources/policies/" TargetMode="External" /><Relationship Type="http://schemas.openxmlformats.org/officeDocument/2006/relationships/hyperlink" Id="rId20" Target="/ka/standards/" TargetMode="External" /><Relationship Type="http://schemas.openxmlformats.org/officeDocument/2006/relationships/hyperlink" Id="rId21" Target="/ka/standards/standard-24/" TargetMode="External" /><Relationship Type="http://schemas.openxmlformats.org/officeDocument/2006/relationships/hyperlink" Id="rId23" Target="/ka/standards/standard-24/#c24-8" TargetMode="External" /><Relationship Type="http://schemas.openxmlformats.org/officeDocument/2006/relationships/hyperlink" Id="rId43" Target="https://academy.gmj.ge/courses/asf-amb-24-en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9" Target="/documents/mtr-reg-004/" TargetMode="External" /><Relationship Type="http://schemas.openxmlformats.org/officeDocument/2006/relationships/hyperlink" Id="rId22" Target="/ka/resources/policies/" TargetMode="External" /><Relationship Type="http://schemas.openxmlformats.org/officeDocument/2006/relationships/hyperlink" Id="rId20" Target="/ka/standards/" TargetMode="External" /><Relationship Type="http://schemas.openxmlformats.org/officeDocument/2006/relationships/hyperlink" Id="rId21" Target="/ka/standards/standard-24/" TargetMode="External" /><Relationship Type="http://schemas.openxmlformats.org/officeDocument/2006/relationships/hyperlink" Id="rId23" Target="/ka/standards/standard-24/#c24-8" TargetMode="External" /><Relationship Type="http://schemas.openxmlformats.org/officeDocument/2006/relationships/hyperlink" Id="rId43" Target="https://academy.gmj.ge/courses/asf-amb-24-en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MTR-POL-004: ფასილიტატორისა და აგენტის სტანდარტი</dc:title>
  <dc:creator/>
  <dc:language>ka</dc:language>
  <cp:keywords/>
  <dcterms:created xsi:type="dcterms:W3CDTF">2026-11-07T01:09:39Z</dcterms:created>
  <dcterms:modified xsi:type="dcterms:W3CDTF">2026-11-07T01:09:39Z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