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NET-POL-002:</w:t>
      </w:r>
      <w:r>
        <w:t xml:space="preserve"> </w:t>
      </w:r>
      <w:r>
        <w:t xml:space="preserve">სტანდარტული</w:t>
      </w:r>
      <w:r>
        <w:t xml:space="preserve"> </w:t>
      </w:r>
      <w:r>
        <w:t xml:space="preserve">კლინიკური</w:t>
      </w:r>
      <w:r>
        <w:t xml:space="preserve"> </w:t>
      </w:r>
      <w:r>
        <w:t xml:space="preserve">პოლიტიკა</w:t>
      </w:r>
      <w:r>
        <w:t xml:space="preserve"> </w:t>
      </w:r>
      <w:r>
        <w:t xml:space="preserve">და</w:t>
      </w:r>
      <w:r>
        <w:t xml:space="preserve"> </w:t>
      </w:r>
      <w:r>
        <w:t xml:space="preserve">ადგილობრივი</w:t>
      </w:r>
      <w:r>
        <w:t xml:space="preserve"> </w:t>
      </w:r>
      <w:r>
        <w:t xml:space="preserve">ვარიაცია</w:t>
      </w:r>
    </w:p>
    <w:bookmarkStart w:id="46" w:name="X8df7ed5fdbf4efa2c2918f09ad6fbed0754bef2"/>
    <w:p>
      <w:pPr>
        <w:pStyle w:val="Heading1"/>
      </w:pPr>
      <w:r>
        <w:t xml:space="preserve">NET-POL-002: სტანდარტული კლინიკური პოლიტიკა და ადგილობრივი ვარიაცია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NET-POL-002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23.3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ძირითადი კლინიკური პოლიტიკა ყველა ობიექტზე ერთნაირია და იყენებს ქსელის სტანდარტულ ჩამონათვალს.</w:t>
      </w:r>
    </w:p>
    <w:p>
      <w:pPr>
        <w:numPr>
          <w:ilvl w:val="0"/>
          <w:numId w:val="1001"/>
        </w:numPr>
        <w:pStyle w:val="Compact"/>
      </w:pPr>
      <w:r>
        <w:t xml:space="preserve">ყოველი ადგილობრივი ვარიაცია იწერება და დასაბუთდება ვარიაციების რეგისტრში (NET-REG-002).</w:t>
      </w:r>
    </w:p>
    <w:p>
      <w:pPr>
        <w:numPr>
          <w:ilvl w:val="0"/>
          <w:numId w:val="1001"/>
        </w:numPr>
        <w:pStyle w:val="Compact"/>
      </w:pPr>
      <w:r>
        <w:t xml:space="preserve">დასაბუთების გარეშე ვარიაცია დაშვებული არ არის.</w:t>
      </w:r>
    </w:p>
    <w:p>
      <w:pPr>
        <w:numPr>
          <w:ilvl w:val="0"/>
          <w:numId w:val="1001"/>
        </w:numPr>
        <w:pStyle w:val="Compact"/>
      </w:pPr>
      <w:r>
        <w:t xml:space="preserve">ობიექტები ყოველი პოლიტიკის განხილვისას განიხილავენ ვარიაციების რეგისტრს.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ორი ობიექტი ერთსა და იმავე წამალს სხვადასხვა პროტოკოლით გასცემს, მიზეზის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ძირითადი კლინიკური პოლიტიკა ობიექტებზე ერთნაირი იყოს, და ნებისმიერი ადგილობრივი განსხვავება ცალსახად იყოს დასაბუთებული (23.3).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თითოეული ობიექტი, რომელიც კლინიკურ მოვლას საკუთარი წესით ახორციელებს, ქსელს ნდობისა და აუდიტისთვის ძნელად ხელმისაწვდომს ხდის. ძირითადი პოლიტიკა ყველგან ერთი უნდა იყოს, ხოლო ნებისმიერი ადგილობრივი განსხვავება უნდა იყოს ჩაწერილი და დასაბუთებული.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ცენტრალური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ქსელის სტანდარტს და ამტკიცებს ვარიაციებს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ობიექტების კლინიკური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წარადგენენ და იწერენ ადგილობრივ ვარიაციებს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სტანდარტის დაყენება.</w:t>
      </w:r>
    </w:p>
    <w:p>
      <w:pPr>
        <w:numPr>
          <w:ilvl w:val="0"/>
          <w:numId w:val="1004"/>
        </w:numPr>
        <w:pStyle w:val="Compact"/>
      </w:pPr>
      <w:r>
        <w:t xml:space="preserve">შეინარჩუნეთ ძირითადი კლინიკური პოლიტიკის ჩამონათვალი, როგორც ქსელის სტანდარტი.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სტანდარტი შენარჩუნებულია.</w:t>
      </w:r>
    </w:p>
    <w:p>
      <w:pPr>
        <w:pStyle w:val="BodyText"/>
      </w:pPr>
      <w:r>
        <w:t xml:space="preserve">ნაბიჯი 2. ვარიაციის დასაბუთება.</w:t>
      </w:r>
    </w:p>
    <w:p>
      <w:pPr>
        <w:numPr>
          <w:ilvl w:val="0"/>
          <w:numId w:val="1005"/>
        </w:numPr>
        <w:pStyle w:val="Compact"/>
      </w:pPr>
      <w:r>
        <w:t xml:space="preserve">წარადგინეთ ნებისმიერი ადგილობრივი ვარიაცია დასაბუთებით და ჩაწერეთ NET-REG-002-ში.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დასაბუთებულია.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ყოველი პოლიტიკის განხილვისას განიხილეთ ვარიაციების რეგისტრი.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ადგილობრივი ვარიაციები ჩაწერილი დასაბუთებით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პოლიტიკის ყოველი განხილვა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ცენტრალური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მმართველ ორგანოს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NET-REG-002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დასაბუთებული ადგილობრივი ვარიაციების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Governance &amp; Management</w:t>
        </w:r>
      </w:hyperlink>
      <w:r>
        <w:t xml:space="preserve"> </w:t>
      </w:r>
      <w:r>
        <w:t xml:space="preserve">(H-07)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net-reg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3/" TargetMode="External" /><Relationship Type="http://schemas.openxmlformats.org/officeDocument/2006/relationships/hyperlink" Id="rId23" Target="/ka/standards/standard-23/#c23-3" TargetMode="External" /><Relationship Type="http://schemas.openxmlformats.org/officeDocument/2006/relationships/hyperlink" Id="rId43" Target="https://academy.gmj.ge/courses/asf-h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net-reg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3/" TargetMode="External" /><Relationship Type="http://schemas.openxmlformats.org/officeDocument/2006/relationships/hyperlink" Id="rId23" Target="/ka/standards/standard-23/#c23-3" TargetMode="External" /><Relationship Type="http://schemas.openxmlformats.org/officeDocument/2006/relationships/hyperlink" Id="rId43" Target="https://academy.gmj.ge/courses/asf-h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NET-POL-002: სტანდარტული კლინიკური პოლიტიკა და ადგილობრივი ვარიაცია</dc:title>
  <dc:creator/>
  <dc:language>ka</dc:language>
  <cp:keywords/>
  <dcterms:created xsi:type="dcterms:W3CDTF">2026-11-07T01:10:44Z</dcterms:created>
  <dcterms:modified xsi:type="dcterms:W3CDTF">2026-11-07T01:10:44Z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