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14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OHS-POL-001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14.1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შეფასება იყენებს დამტკიცებულ მეთოდს, და მეთოდი დასახელებულია OHS-FRM-001-ზე.</w:t>
      </w:r>
    </w:p>
    <w:p>
      <w:pPr>
        <w:numPr>
          <w:ilvl w:val="0"/>
          <w:numId w:val="1001"/>
        </w:numPr>
        <w:pStyle w:val="Compact"/>
      </w:pPr>
      <w:r>
        <w:t xml:space="preserve">შედეგები აღირიცხება და კონფიდენციალურად ინახება ჩანაწერების წესის მიხედვით (REC-POL-001).</w:t>
      </w:r>
    </w:p>
    <w:p>
      <w:pPr>
        <w:numPr>
          <w:ilvl w:val="0"/>
          <w:numId w:val="1001"/>
        </w:numPr>
        <w:pStyle w:val="Compact"/>
      </w:pPr>
      <w:r>
        <w:t xml:space="preserve">შედეგები მუშაკსა და დამსაქმებელს მიეწოდება მხოლოდ წესით დაშვებული ფორმით.</w:t>
      </w:r>
    </w:p>
    <w:p>
      <w:pPr>
        <w:numPr>
          <w:ilvl w:val="0"/>
          <w:numId w:val="1001"/>
        </w:numPr>
        <w:pStyle w:val="Compact"/>
      </w:pPr>
      <w:r>
        <w:t xml:space="preserve">შეფასების ჩანაწერები უსაფრთხოდ ინახება, წვდომა შეზღუდულია დასახელებულ პერსონალზე.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შეფასების შედეგი წესის მიღმა გაზიარდა, ან შეფასება ჩატარდა დამტკიცებული მეთოდის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ყოველი შეფასება კლინიკურად სწორი იყოს და კონფიდენციალურად ინახებოდეს (14.1).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დასაქმების ჯანმრთელობის შეფასება გადაწყვეტს, შეუძლია თუ არა მუშაკს თავისი სამუშაოს უსაფრთხოდ შესრულება. თუ მეთოდი დამტკიცებული არ არის, ან შედეგი საჭიროზე მეტად ვრცელდება, გადაწყვეტილება და მუშაკი ორივე იტანჯება.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დასაქმების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მეთოდსა და კონფიდენციალურობის წესს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ჩანაწერების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უსაფრთხოდ ინახავს ჩანაწერებს და ამოწმებს წვდომას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ჩანაწერები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დამტკიცებული მეთოდის გამოყენება.</w:t>
      </w:r>
    </w:p>
    <w:p>
      <w:pPr>
        <w:numPr>
          <w:ilvl w:val="0"/>
          <w:numId w:val="1004"/>
        </w:numPr>
        <w:pStyle w:val="Compact"/>
      </w:pPr>
      <w:r>
        <w:t xml:space="preserve">დაასახელეთ დამტკიცებული მეთოდი ყოველი შეფასებისთვის OHS-FRM-001-ზე.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დამტკიცებული, დასახელებული.</w:t>
      </w:r>
    </w:p>
    <w:p>
      <w:pPr>
        <w:pStyle w:val="BodyText"/>
      </w:pPr>
      <w:r>
        <w:t xml:space="preserve">ნაბიჯი 2. აღრიცხვა და დაცვა.</w:t>
      </w:r>
    </w:p>
    <w:p>
      <w:pPr>
        <w:numPr>
          <w:ilvl w:val="0"/>
          <w:numId w:val="1005"/>
        </w:numPr>
        <w:pStyle w:val="Compact"/>
      </w:pPr>
      <w:r>
        <w:t xml:space="preserve">აღრიცხეთ შედეგი და უსაფრთხოდ შეინახეთ REC-POL-001-ის მიხედვით.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უსაფრთხო შენახვა.</w:t>
      </w:r>
    </w:p>
    <w:p>
      <w:pPr>
        <w:pStyle w:val="BodyText"/>
      </w:pPr>
      <w:r>
        <w:t xml:space="preserve">ნაბიჯი 3. გაზიარება მხოლოდ დაშვებულად.</w:t>
      </w:r>
    </w:p>
    <w:p>
      <w:pPr>
        <w:numPr>
          <w:ilvl w:val="0"/>
          <w:numId w:val="1006"/>
        </w:numPr>
        <w:pStyle w:val="Compact"/>
      </w:pPr>
      <w:r>
        <w:t xml:space="preserve">გააზიარეთ შედეგები მხოლოდ წესით დაშვებულად და აღრიცხეთ ყოველი გამჟღავნება.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მხოლოდ დაშვებულად.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შეფასებები დასახელებული დამტკიცებული მეთოდით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დასაქმების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OHS-FRM-001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დასაქმების ჯანმრთელობის შეფასების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ICOH-ის საერთაშორისო ეთიკის კოდექსზე დასაქმების ჯანმრთელობის პროფესიონალებისთვის, მე-3 გამოცემა (2014).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პერსონალის ჯანმრთელობის სკრინინგი და კეთილდღეობის სტანდარტები</w:t>
      </w:r>
      <w:r>
        <w:t xml:space="preserve"> </w:t>
      </w:r>
      <w:r>
        <w:t xml:space="preserve">(STAFF-01)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ჩანაწერები, კონფიდენციალურობა და მონაცემთა დაცვა</w:t>
        </w:r>
      </w:hyperlink>
      <w:r>
        <w:t xml:space="preserve"> </w:t>
      </w:r>
      <w:r>
        <w:t xml:space="preserve">(T-11)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ohs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4/" TargetMode="External" /><Relationship Type="http://schemas.openxmlformats.org/officeDocument/2006/relationships/hyperlink" Id="rId23" Target="/ka/standards/standard-14/#c14-1" TargetMode="External" /><Relationship Type="http://schemas.openxmlformats.org/officeDocument/2006/relationships/hyperlink" Id="rId43" Target="https://academy.gmj.ge/courses/asf-t-11-en/" TargetMode="External" /><Relationship Type="http://schemas.openxmlformats.org/officeDocument/2006/relationships/hyperlink" Id="rId46" Target="https://france-asf.fr/wp-content/uploads/2026/10/ohs-pol-001-form-1.docx" TargetMode="External" /><Relationship Type="http://schemas.openxmlformats.org/officeDocument/2006/relationships/hyperlink" Id="rId45" Target="https://france-asf.fr/wp-content/uploads/2026/10/ohs-pol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ohs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4/" TargetMode="External" /><Relationship Type="http://schemas.openxmlformats.org/officeDocument/2006/relationships/hyperlink" Id="rId23" Target="/ka/standards/standard-14/#c14-1" TargetMode="External" /><Relationship Type="http://schemas.openxmlformats.org/officeDocument/2006/relationships/hyperlink" Id="rId43" Target="https://academy.gmj.ge/courses/asf-t-11-en/" TargetMode="External" /><Relationship Type="http://schemas.openxmlformats.org/officeDocument/2006/relationships/hyperlink" Id="rId46" Target="https://france-asf.fr/wp-content/uploads/2026/10/ohs-pol-001-form-1.docx" TargetMode="External" /><Relationship Type="http://schemas.openxmlformats.org/officeDocument/2006/relationships/hyperlink" Id="rId45" Target="https://france-asf.fr/wp-content/uploads/2026/10/ohs-pol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2026-11-07T01:36:10Z</dcterms:created>
  <dcterms:modified xsi:type="dcterms:W3CDTF">2026-11-07T01:36:10Z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